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F2B" w:rsidRDefault="00F82F2B" w:rsidP="00981BDF">
      <w:pPr>
        <w:spacing w:after="0" w:line="240" w:lineRule="auto"/>
        <w:rPr>
          <w:b/>
        </w:rPr>
      </w:pPr>
      <w:r w:rsidRPr="00C04E3A">
        <w:rPr>
          <w:b/>
        </w:rPr>
        <w:t>Anatomical Society</w:t>
      </w:r>
      <w:r w:rsidR="00411F17">
        <w:rPr>
          <w:b/>
        </w:rPr>
        <w:t>,</w:t>
      </w:r>
      <w:r w:rsidRPr="00C04E3A">
        <w:rPr>
          <w:b/>
        </w:rPr>
        <w:t xml:space="preserve"> </w:t>
      </w:r>
      <w:r>
        <w:rPr>
          <w:b/>
        </w:rPr>
        <w:t>University of Dundee</w:t>
      </w:r>
      <w:r w:rsidR="00411F17">
        <w:rPr>
          <w:b/>
        </w:rPr>
        <w:t>,</w:t>
      </w:r>
      <w:r>
        <w:rPr>
          <w:b/>
        </w:rPr>
        <w:t xml:space="preserve"> December 2017</w:t>
      </w:r>
    </w:p>
    <w:p w:rsidR="00411F17" w:rsidRDefault="00411F17" w:rsidP="00981BDF">
      <w:pPr>
        <w:spacing w:after="0" w:line="240" w:lineRule="auto"/>
        <w:rPr>
          <w:b/>
        </w:rPr>
      </w:pPr>
    </w:p>
    <w:p w:rsidR="00411F17" w:rsidRDefault="00411F17" w:rsidP="00981BDF">
      <w:pPr>
        <w:spacing w:after="0" w:line="240" w:lineRule="auto"/>
        <w:rPr>
          <w:b/>
        </w:rPr>
      </w:pPr>
      <w:r>
        <w:rPr>
          <w:b/>
        </w:rPr>
        <w:t>Human Anatomy Teaching Group, Department Physiology, Development and Neuroscience, University of Cambridge</w:t>
      </w:r>
    </w:p>
    <w:p w:rsidR="00411F17" w:rsidRDefault="00411F17" w:rsidP="00981BDF">
      <w:pPr>
        <w:spacing w:after="0" w:line="240" w:lineRule="auto"/>
        <w:rPr>
          <w:b/>
        </w:rPr>
      </w:pPr>
    </w:p>
    <w:p w:rsidR="00411F17" w:rsidRDefault="00411F17" w:rsidP="00981BDF">
      <w:pPr>
        <w:spacing w:after="0" w:line="240" w:lineRule="auto"/>
        <w:rPr>
          <w:b/>
        </w:rPr>
      </w:pPr>
    </w:p>
    <w:p w:rsidR="00F82F2B" w:rsidRDefault="00F82F2B" w:rsidP="00981BDF">
      <w:pPr>
        <w:spacing w:after="0" w:line="240" w:lineRule="auto"/>
        <w:rPr>
          <w:b/>
        </w:rPr>
      </w:pPr>
      <w:r>
        <w:rPr>
          <w:b/>
        </w:rPr>
        <w:t>Abstract 1 (Oral presentation)</w:t>
      </w:r>
    </w:p>
    <w:p w:rsidR="00F82F2B" w:rsidRDefault="00F82F2B" w:rsidP="00981BDF">
      <w:pPr>
        <w:spacing w:after="0" w:line="240" w:lineRule="auto"/>
        <w:rPr>
          <w:b/>
        </w:rPr>
      </w:pPr>
      <w:r>
        <w:rPr>
          <w:b/>
        </w:rPr>
        <w:t>Neck extension and tracheal exposure in relation to open tracheostomy</w:t>
      </w:r>
    </w:p>
    <w:p w:rsidR="00F82F2B" w:rsidRDefault="00F82F2B" w:rsidP="00981BDF">
      <w:pPr>
        <w:spacing w:after="0" w:line="240" w:lineRule="auto"/>
      </w:pPr>
      <w:r>
        <w:t>O Kenyon, ML Robinson and C Brassett</w:t>
      </w:r>
    </w:p>
    <w:p w:rsidR="00F82F2B" w:rsidRDefault="00F82F2B" w:rsidP="00981BDF">
      <w:pPr>
        <w:spacing w:after="0" w:line="240" w:lineRule="auto"/>
      </w:pPr>
    </w:p>
    <w:p w:rsidR="00F82F2B" w:rsidRPr="00981BDF" w:rsidRDefault="00F82F2B" w:rsidP="00981BDF">
      <w:pPr>
        <w:spacing w:after="0" w:line="240" w:lineRule="auto"/>
        <w:jc w:val="both"/>
      </w:pPr>
      <w:r w:rsidRPr="00981BDF">
        <w:t>Open tracheostomy is traditionally performed at the second and third tracheal rings under moderate neck extension to optimise visibility and access to the trachea. As cervical spine pathology may limit flexion and extension, the risk of overextension is a concern for both surgeon and anaesthetist. This study aimed to describe the relationship between neck extension and tracheal exposure. The trachea was dissected and exposed from cricoid to suprasternal notch in 39 cadavers in the Human Dissection Room at Cambridge University. The neck was flexed and extended at 15</w:t>
      </w:r>
      <w:r w:rsidRPr="00981BDF">
        <w:rPr>
          <w:vertAlign w:val="superscript"/>
        </w:rPr>
        <w:t>o</w:t>
      </w:r>
      <w:r w:rsidRPr="00981BDF">
        <w:t xml:space="preserve"> increments between 45-135</w:t>
      </w:r>
      <w:r w:rsidRPr="00981BDF">
        <w:rPr>
          <w:vertAlign w:val="superscript"/>
        </w:rPr>
        <w:t>o</w:t>
      </w:r>
      <w:r w:rsidRPr="00981BDF">
        <w:t>, as determined by a goniometer along a vertical line joining the external auditory meatus and nasal ala relative to the horizontal plane of the supine body, with full flexion and extension being 0-180</w:t>
      </w:r>
      <w:r w:rsidRPr="00981BDF">
        <w:rPr>
          <w:vertAlign w:val="superscript"/>
        </w:rPr>
        <w:t xml:space="preserve">o </w:t>
      </w:r>
      <w:r w:rsidRPr="00981BDF">
        <w:t>respectively. Digital calliper measurements were made of visible tracheal length and rings from cricoid to suprasternal notch. Our results showed that the mean tracheal length gained from 45-135</w:t>
      </w:r>
      <w:r w:rsidRPr="00981BDF">
        <w:rPr>
          <w:vertAlign w:val="superscript"/>
        </w:rPr>
        <w:t>o</w:t>
      </w:r>
      <w:r w:rsidRPr="00981BDF">
        <w:t xml:space="preserve"> extension was </w:t>
      </w:r>
      <w:proofErr w:type="gramStart"/>
      <w:r w:rsidRPr="00981BDF">
        <w:t>29.6mm(</w:t>
      </w:r>
      <w:proofErr w:type="gramEnd"/>
      <w:r w:rsidRPr="00981BDF">
        <w:t>SD=8.9) in all subjects, with the mean number of tracheal rings exposed being 2.95 rings (SD=1.23). The mean tracheal length (and number of visible rings) at 45</w:t>
      </w:r>
      <w:r w:rsidRPr="00981BDF">
        <w:rPr>
          <w:vertAlign w:val="superscript"/>
        </w:rPr>
        <w:t>o</w:t>
      </w:r>
      <w:r w:rsidRPr="00981BDF">
        <w:t>, 60</w:t>
      </w:r>
      <w:r w:rsidRPr="00981BDF">
        <w:rPr>
          <w:vertAlign w:val="superscript"/>
        </w:rPr>
        <w:t>o</w:t>
      </w:r>
      <w:r w:rsidRPr="00981BDF">
        <w:t>, 75</w:t>
      </w:r>
      <w:r w:rsidRPr="00981BDF">
        <w:rPr>
          <w:vertAlign w:val="superscript"/>
        </w:rPr>
        <w:t>o</w:t>
      </w:r>
      <w:r w:rsidRPr="00981BDF">
        <w:t>, 90</w:t>
      </w:r>
      <w:r w:rsidRPr="00981BDF">
        <w:rPr>
          <w:vertAlign w:val="superscript"/>
        </w:rPr>
        <w:t>o</w:t>
      </w:r>
      <w:r w:rsidRPr="00981BDF">
        <w:t>, 105</w:t>
      </w:r>
      <w:r w:rsidRPr="00981BDF">
        <w:rPr>
          <w:vertAlign w:val="superscript"/>
        </w:rPr>
        <w:t>o</w:t>
      </w:r>
      <w:r w:rsidRPr="00981BDF">
        <w:t>, 120</w:t>
      </w:r>
      <w:r w:rsidRPr="00981BDF">
        <w:rPr>
          <w:vertAlign w:val="superscript"/>
        </w:rPr>
        <w:t>o</w:t>
      </w:r>
      <w:r w:rsidRPr="00981BDF">
        <w:t xml:space="preserve"> and 135</w:t>
      </w:r>
      <w:r w:rsidRPr="00981BDF">
        <w:rPr>
          <w:vertAlign w:val="superscript"/>
        </w:rPr>
        <w:t>o</w:t>
      </w:r>
      <w:r w:rsidRPr="00981BDF">
        <w:t xml:space="preserve"> was 28.8mm(6.0), 29.2mm(6.1), 32.3mm(6.6), 38.0mm(7.1), 45.1mm(7.7), 50.6mm(8.1) and 55.7mm(8.6) respectively. For an individual subject, the mean increase in length (and visible rings) between 45-60</w:t>
      </w:r>
      <w:r w:rsidRPr="00981BDF">
        <w:rPr>
          <w:vertAlign w:val="superscript"/>
        </w:rPr>
        <w:t>o</w:t>
      </w:r>
      <w:r w:rsidRPr="00981BDF">
        <w:t>, 60-75</w:t>
      </w:r>
      <w:r w:rsidRPr="00981BDF">
        <w:rPr>
          <w:vertAlign w:val="superscript"/>
        </w:rPr>
        <w:t>o</w:t>
      </w:r>
      <w:r w:rsidRPr="00981BDF">
        <w:t>, 75-90</w:t>
      </w:r>
      <w:r w:rsidRPr="00981BDF">
        <w:rPr>
          <w:vertAlign w:val="superscript"/>
        </w:rPr>
        <w:t>o</w:t>
      </w:r>
      <w:r w:rsidRPr="00981BDF">
        <w:t>. 90-105</w:t>
      </w:r>
      <w:r w:rsidRPr="00981BDF">
        <w:rPr>
          <w:vertAlign w:val="superscript"/>
        </w:rPr>
        <w:t>o</w:t>
      </w:r>
      <w:r w:rsidRPr="00981BDF">
        <w:t>, 105-120</w:t>
      </w:r>
      <w:r w:rsidRPr="00981BDF">
        <w:rPr>
          <w:vertAlign w:val="superscript"/>
        </w:rPr>
        <w:t>o</w:t>
      </w:r>
      <w:r w:rsidRPr="00981BDF">
        <w:t xml:space="preserve"> and 120-135</w:t>
      </w:r>
      <w:r w:rsidRPr="00981BDF">
        <w:rPr>
          <w:vertAlign w:val="superscript"/>
        </w:rPr>
        <w:t>o</w:t>
      </w:r>
      <w:r w:rsidRPr="00981BDF">
        <w:t xml:space="preserve"> was 14.9%(9.5%), 12.6%(11.6%), 19.3%(10.7%), 22.0%(10.4%), 17.9%(6.9%) and 13.7%(6.6%) respectively. In conclusion, we demonstrated that the maximum percentage change in tracheal length was elicited between 75-105</w:t>
      </w:r>
      <w:r w:rsidRPr="00981BDF">
        <w:rPr>
          <w:vertAlign w:val="superscript"/>
        </w:rPr>
        <w:t>o</w:t>
      </w:r>
      <w:r w:rsidRPr="00981BDF">
        <w:t>, with the maximum change in number of visible rings between 60-90</w:t>
      </w:r>
      <w:r w:rsidRPr="00981BDF">
        <w:rPr>
          <w:vertAlign w:val="superscript"/>
        </w:rPr>
        <w:t>o</w:t>
      </w:r>
      <w:r w:rsidRPr="00981BDF">
        <w:t>. Whilst increased tracheal exposure continues up to 135</w:t>
      </w:r>
      <w:r w:rsidRPr="00981BDF">
        <w:rPr>
          <w:vertAlign w:val="superscript"/>
        </w:rPr>
        <w:t>o</w:t>
      </w:r>
      <w:r w:rsidRPr="00981BDF">
        <w:t>, the above data suggest that neck extension of up to 105</w:t>
      </w:r>
      <w:r w:rsidRPr="00981BDF">
        <w:rPr>
          <w:vertAlign w:val="superscript"/>
        </w:rPr>
        <w:t>o</w:t>
      </w:r>
      <w:r w:rsidRPr="00981BDF">
        <w:t xml:space="preserve"> is likely to yield a reasonable length for open tracheostomy, especially for those patients for whom further neck extension may pose unacceptable risks. Ethical approval was not required for this study.</w:t>
      </w:r>
    </w:p>
    <w:p w:rsidR="00F82F2B" w:rsidRDefault="00F82F2B" w:rsidP="00981BDF">
      <w:pPr>
        <w:spacing w:after="0" w:line="240" w:lineRule="auto"/>
        <w:jc w:val="both"/>
      </w:pPr>
    </w:p>
    <w:p w:rsidR="00F82F2B" w:rsidRDefault="00F82F2B" w:rsidP="00981BDF">
      <w:pPr>
        <w:spacing w:after="0" w:line="240" w:lineRule="auto"/>
        <w:jc w:val="both"/>
      </w:pPr>
    </w:p>
    <w:p w:rsidR="00F82F2B" w:rsidRPr="00F64633" w:rsidRDefault="00F82F2B" w:rsidP="00981BDF">
      <w:pPr>
        <w:spacing w:after="0" w:line="240" w:lineRule="auto"/>
        <w:jc w:val="both"/>
        <w:rPr>
          <w:b/>
        </w:rPr>
      </w:pPr>
      <w:r w:rsidRPr="00F64633">
        <w:rPr>
          <w:b/>
        </w:rPr>
        <w:t>Abstract 2 (Oral Presentation)</w:t>
      </w:r>
    </w:p>
    <w:p w:rsidR="00F82F2B" w:rsidRDefault="00F82F2B" w:rsidP="00981BDF">
      <w:pPr>
        <w:spacing w:after="0" w:line="240" w:lineRule="auto"/>
        <w:jc w:val="both"/>
        <w:rPr>
          <w:b/>
        </w:rPr>
      </w:pPr>
      <w:r>
        <w:rPr>
          <w:b/>
        </w:rPr>
        <w:t xml:space="preserve">Anatomical investigation of the </w:t>
      </w:r>
      <w:proofErr w:type="spellStart"/>
      <w:r>
        <w:rPr>
          <w:b/>
        </w:rPr>
        <w:t>ileocaecal</w:t>
      </w:r>
      <w:proofErr w:type="spellEnd"/>
      <w:r>
        <w:rPr>
          <w:b/>
        </w:rPr>
        <w:t xml:space="preserve"> junction in cadaveric specimens</w:t>
      </w:r>
    </w:p>
    <w:p w:rsidR="00F82F2B" w:rsidRPr="00F64633" w:rsidRDefault="00F82F2B" w:rsidP="00981BDF">
      <w:pPr>
        <w:pStyle w:val="ListParagraph"/>
        <w:spacing w:after="0" w:line="240" w:lineRule="auto"/>
        <w:ind w:left="0"/>
        <w:jc w:val="both"/>
      </w:pPr>
      <w:proofErr w:type="spellStart"/>
      <w:r>
        <w:t>A.Choo</w:t>
      </w:r>
      <w:proofErr w:type="spellEnd"/>
      <w:r>
        <w:t xml:space="preserve">, </w:t>
      </w:r>
      <w:proofErr w:type="spellStart"/>
      <w:r>
        <w:t>E.Wong</w:t>
      </w:r>
      <w:proofErr w:type="spellEnd"/>
      <w:r>
        <w:t xml:space="preserve">, </w:t>
      </w:r>
      <w:proofErr w:type="spellStart"/>
      <w:r>
        <w:t>R.Townend</w:t>
      </w:r>
      <w:proofErr w:type="spellEnd"/>
      <w:r>
        <w:t xml:space="preserve">, </w:t>
      </w:r>
      <w:proofErr w:type="spellStart"/>
      <w:r>
        <w:t>J.Brown</w:t>
      </w:r>
      <w:proofErr w:type="spellEnd"/>
      <w:r>
        <w:t xml:space="preserve"> and C Brassett</w:t>
      </w:r>
    </w:p>
    <w:p w:rsidR="00F82F2B" w:rsidRDefault="00F82F2B" w:rsidP="00981BDF">
      <w:pPr>
        <w:spacing w:after="0" w:line="240" w:lineRule="auto"/>
        <w:jc w:val="both"/>
      </w:pPr>
    </w:p>
    <w:p w:rsidR="00F82F2B" w:rsidRDefault="00F82F2B" w:rsidP="00981BDF">
      <w:pPr>
        <w:spacing w:after="0" w:line="240" w:lineRule="auto"/>
        <w:jc w:val="both"/>
        <w:rPr>
          <w:rFonts w:eastAsia="Times New Roman" w:cstheme="minorHAnsi"/>
        </w:rPr>
      </w:pPr>
      <w:r w:rsidRPr="00E36010">
        <w:rPr>
          <w:rFonts w:eastAsia="Times New Roman" w:cstheme="minorHAnsi"/>
        </w:rPr>
        <w:t xml:space="preserve">The </w:t>
      </w:r>
      <w:proofErr w:type="spellStart"/>
      <w:r w:rsidRPr="00E36010">
        <w:rPr>
          <w:rFonts w:eastAsia="Times New Roman" w:cstheme="minorHAnsi"/>
        </w:rPr>
        <w:t>ileocaecal</w:t>
      </w:r>
      <w:proofErr w:type="spellEnd"/>
      <w:r w:rsidRPr="00E36010">
        <w:rPr>
          <w:rFonts w:eastAsia="Times New Roman" w:cstheme="minorHAnsi"/>
        </w:rPr>
        <w:t xml:space="preserve"> junction (ICJ)</w:t>
      </w:r>
      <w:r>
        <w:rPr>
          <w:rFonts w:eastAsia="Times New Roman" w:cstheme="minorHAnsi"/>
        </w:rPr>
        <w:t xml:space="preserve">, </w:t>
      </w:r>
      <w:r w:rsidRPr="00E36010">
        <w:rPr>
          <w:rFonts w:eastAsia="Times New Roman" w:cstheme="minorHAnsi"/>
        </w:rPr>
        <w:t>located where the terminal ileum enters the caecum</w:t>
      </w:r>
      <w:r>
        <w:rPr>
          <w:rFonts w:eastAsia="Times New Roman" w:cstheme="minorHAnsi"/>
        </w:rPr>
        <w:t xml:space="preserve">, is important </w:t>
      </w:r>
      <w:r w:rsidRPr="00E36010">
        <w:rPr>
          <w:rFonts w:eastAsia="Times New Roman" w:cstheme="minorHAnsi"/>
        </w:rPr>
        <w:t xml:space="preserve">in preventing </w:t>
      </w:r>
      <w:proofErr w:type="spellStart"/>
      <w:r w:rsidRPr="00E36010">
        <w:rPr>
          <w:rFonts w:eastAsia="Times New Roman" w:cstheme="minorHAnsi"/>
        </w:rPr>
        <w:t>caeco-ileal</w:t>
      </w:r>
      <w:proofErr w:type="spellEnd"/>
      <w:r w:rsidRPr="00E36010">
        <w:rPr>
          <w:rFonts w:eastAsia="Times New Roman" w:cstheme="minorHAnsi"/>
        </w:rPr>
        <w:t xml:space="preserve"> reflux. </w:t>
      </w:r>
      <w:r>
        <w:rPr>
          <w:rFonts w:eastAsia="Times New Roman" w:cstheme="minorHAnsi"/>
        </w:rPr>
        <w:t xml:space="preserve">However, its precise </w:t>
      </w:r>
      <w:r w:rsidRPr="00E36010">
        <w:rPr>
          <w:rFonts w:eastAsia="Times New Roman" w:cstheme="minorHAnsi"/>
        </w:rPr>
        <w:t xml:space="preserve">nature </w:t>
      </w:r>
      <w:r>
        <w:rPr>
          <w:rFonts w:eastAsia="Times New Roman" w:cstheme="minorHAnsi"/>
        </w:rPr>
        <w:t>remains unclear</w:t>
      </w:r>
      <w:r w:rsidRPr="00E36010">
        <w:rPr>
          <w:rFonts w:eastAsia="Times New Roman" w:cstheme="minorHAnsi"/>
        </w:rPr>
        <w:t xml:space="preserve">, with </w:t>
      </w:r>
      <w:r>
        <w:rPr>
          <w:rFonts w:eastAsia="Times New Roman" w:cstheme="minorHAnsi"/>
        </w:rPr>
        <w:t>descriptions</w:t>
      </w:r>
      <w:r w:rsidRPr="00E36010">
        <w:rPr>
          <w:rFonts w:eastAsia="Times New Roman" w:cstheme="minorHAnsi"/>
        </w:rPr>
        <w:t xml:space="preserve"> alternating between “</w:t>
      </w:r>
      <w:proofErr w:type="spellStart"/>
      <w:r w:rsidRPr="00E36010">
        <w:rPr>
          <w:rFonts w:eastAsia="Times New Roman" w:cstheme="minorHAnsi"/>
        </w:rPr>
        <w:t>valvular</w:t>
      </w:r>
      <w:proofErr w:type="spellEnd"/>
      <w:r w:rsidRPr="00E36010">
        <w:rPr>
          <w:rFonts w:eastAsia="Times New Roman" w:cstheme="minorHAnsi"/>
        </w:rPr>
        <w:t>” and “</w:t>
      </w:r>
      <w:proofErr w:type="spellStart"/>
      <w:r w:rsidRPr="00E36010">
        <w:rPr>
          <w:rFonts w:eastAsia="Times New Roman" w:cstheme="minorHAnsi"/>
        </w:rPr>
        <w:t>sphincteric</w:t>
      </w:r>
      <w:proofErr w:type="spellEnd"/>
      <w:r w:rsidRPr="00E36010">
        <w:rPr>
          <w:rFonts w:eastAsia="Times New Roman" w:cstheme="minorHAnsi"/>
        </w:rPr>
        <w:t>”</w:t>
      </w:r>
      <w:r>
        <w:rPr>
          <w:rFonts w:eastAsia="Times New Roman" w:cstheme="minorHAnsi"/>
        </w:rPr>
        <w:t xml:space="preserve"> or </w:t>
      </w:r>
      <w:r w:rsidRPr="00E36010">
        <w:rPr>
          <w:rFonts w:eastAsia="Times New Roman" w:cstheme="minorHAnsi"/>
        </w:rPr>
        <w:t>a combination of both</w:t>
      </w:r>
      <w:r>
        <w:rPr>
          <w:rFonts w:eastAsia="Times New Roman" w:cstheme="minorHAnsi"/>
        </w:rPr>
        <w:t xml:space="preserve"> mechanisms</w:t>
      </w:r>
      <w:r w:rsidRPr="00E36010">
        <w:rPr>
          <w:rFonts w:eastAsia="Times New Roman" w:cstheme="minorHAnsi"/>
        </w:rPr>
        <w:t xml:space="preserve">. </w:t>
      </w:r>
      <w:r>
        <w:rPr>
          <w:rFonts w:eastAsia="Times New Roman" w:cstheme="minorHAnsi"/>
        </w:rPr>
        <w:t xml:space="preserve">This </w:t>
      </w:r>
      <w:r w:rsidRPr="00E36010">
        <w:rPr>
          <w:rFonts w:eastAsia="Times New Roman" w:cstheme="minorHAnsi"/>
        </w:rPr>
        <w:t xml:space="preserve">study </w:t>
      </w:r>
      <w:r>
        <w:rPr>
          <w:rFonts w:eastAsia="Times New Roman" w:cstheme="minorHAnsi"/>
        </w:rPr>
        <w:t>aimed to investigate the morphological and functional features of the ICJ in 33 embalmed cadaveric specimens. The</w:t>
      </w:r>
      <w:r w:rsidRPr="00E36010">
        <w:rPr>
          <w:rFonts w:eastAsia="Times New Roman" w:cstheme="minorHAnsi"/>
        </w:rPr>
        <w:t xml:space="preserve"> </w:t>
      </w:r>
      <w:r>
        <w:rPr>
          <w:rFonts w:eastAsia="Times New Roman" w:cstheme="minorHAnsi"/>
        </w:rPr>
        <w:t xml:space="preserve">terminal </w:t>
      </w:r>
      <w:r w:rsidRPr="00E36010">
        <w:rPr>
          <w:rFonts w:eastAsia="Times New Roman" w:cstheme="minorHAnsi"/>
        </w:rPr>
        <w:t xml:space="preserve">ileum </w:t>
      </w:r>
      <w:r>
        <w:rPr>
          <w:rFonts w:eastAsia="Times New Roman" w:cstheme="minorHAnsi"/>
        </w:rPr>
        <w:t>was observed to enter</w:t>
      </w:r>
      <w:r w:rsidRPr="00E36010">
        <w:rPr>
          <w:rFonts w:eastAsia="Times New Roman" w:cstheme="minorHAnsi"/>
        </w:rPr>
        <w:t xml:space="preserve"> the caecum </w:t>
      </w:r>
      <w:r>
        <w:rPr>
          <w:rFonts w:eastAsia="Times New Roman" w:cstheme="minorHAnsi"/>
        </w:rPr>
        <w:t>on its medial aspect</w:t>
      </w:r>
      <w:r w:rsidRPr="00E36010">
        <w:rPr>
          <w:rFonts w:eastAsia="Times New Roman" w:cstheme="minorHAnsi"/>
        </w:rPr>
        <w:t xml:space="preserve"> in most </w:t>
      </w:r>
      <w:r>
        <w:rPr>
          <w:rFonts w:eastAsia="Times New Roman" w:cstheme="minorHAnsi"/>
        </w:rPr>
        <w:t>cases (n=25), anteriorly in 5, and posteriorly in 3 specimens. The</w:t>
      </w:r>
      <w:r w:rsidRPr="00E36010">
        <w:rPr>
          <w:rFonts w:eastAsia="Times New Roman" w:cstheme="minorHAnsi"/>
        </w:rPr>
        <w:t xml:space="preserve"> mean angle </w:t>
      </w:r>
      <w:r>
        <w:rPr>
          <w:rFonts w:eastAsia="Times New Roman" w:cstheme="minorHAnsi"/>
        </w:rPr>
        <w:t xml:space="preserve">between the distal terminal ileum and ascending colon was </w:t>
      </w:r>
      <w:r w:rsidRPr="00E36010">
        <w:rPr>
          <w:rFonts w:eastAsia="Times New Roman" w:cstheme="minorHAnsi"/>
        </w:rPr>
        <w:t>106˚</w:t>
      </w:r>
      <w:r>
        <w:rPr>
          <w:rFonts w:eastAsia="Times New Roman" w:cstheme="minorHAnsi"/>
        </w:rPr>
        <w:t xml:space="preserve"> (SD=23.0</w:t>
      </w:r>
      <w:r w:rsidRPr="00E36010">
        <w:rPr>
          <w:rFonts w:eastAsia="Times New Roman" w:cstheme="minorHAnsi"/>
        </w:rPr>
        <w:t>˚</w:t>
      </w:r>
      <w:r>
        <w:rPr>
          <w:rFonts w:eastAsia="Times New Roman" w:cstheme="minorHAnsi"/>
        </w:rPr>
        <w:t>)</w:t>
      </w:r>
      <w:r w:rsidRPr="00E36010">
        <w:rPr>
          <w:rFonts w:eastAsia="Times New Roman" w:cstheme="minorHAnsi"/>
        </w:rPr>
        <w:t xml:space="preserve">. </w:t>
      </w:r>
      <w:r>
        <w:rPr>
          <w:rFonts w:eastAsia="Times New Roman" w:cstheme="minorHAnsi"/>
        </w:rPr>
        <w:t>Similar to</w:t>
      </w:r>
      <w:r w:rsidRPr="00E36010">
        <w:rPr>
          <w:rFonts w:eastAsia="Times New Roman" w:cstheme="minorHAnsi"/>
        </w:rPr>
        <w:t xml:space="preserve"> published literature, </w:t>
      </w:r>
      <w:r>
        <w:rPr>
          <w:rFonts w:eastAsia="Times New Roman" w:cstheme="minorHAnsi"/>
        </w:rPr>
        <w:t>the internal appearance of most of the ICJs could be classified as</w:t>
      </w:r>
      <w:r w:rsidRPr="00E36010">
        <w:rPr>
          <w:rFonts w:eastAsia="Times New Roman" w:cstheme="minorHAnsi"/>
        </w:rPr>
        <w:t xml:space="preserve"> labial</w:t>
      </w:r>
      <w:r>
        <w:rPr>
          <w:rFonts w:eastAsia="Times New Roman" w:cstheme="minorHAnsi"/>
        </w:rPr>
        <w:t xml:space="preserve"> (n=19), with 12 of papillary </w:t>
      </w:r>
      <w:r w:rsidRPr="00E36010">
        <w:rPr>
          <w:rFonts w:eastAsia="Times New Roman" w:cstheme="minorHAnsi"/>
        </w:rPr>
        <w:t>type</w:t>
      </w:r>
      <w:r>
        <w:rPr>
          <w:rFonts w:eastAsia="Times New Roman" w:cstheme="minorHAnsi"/>
        </w:rPr>
        <w:t xml:space="preserve"> and two morphologies (tube-like and rosette-like) which have not been previously described</w:t>
      </w:r>
      <w:r w:rsidRPr="00E36010">
        <w:rPr>
          <w:rFonts w:eastAsia="Times New Roman" w:cstheme="minorHAnsi"/>
        </w:rPr>
        <w:t>. Papillary</w:t>
      </w:r>
      <w:r>
        <w:rPr>
          <w:rFonts w:eastAsia="Times New Roman" w:cstheme="minorHAnsi"/>
        </w:rPr>
        <w:t xml:space="preserve"> ICJs</w:t>
      </w:r>
      <w:r w:rsidRPr="00E36010">
        <w:rPr>
          <w:rFonts w:eastAsia="Times New Roman" w:cstheme="minorHAnsi"/>
        </w:rPr>
        <w:t xml:space="preserve"> had significantly thicker lips (mean=3.56cm</w:t>
      </w:r>
      <w:r>
        <w:rPr>
          <w:rFonts w:eastAsia="Times New Roman" w:cstheme="minorHAnsi"/>
        </w:rPr>
        <w:t>)</w:t>
      </w:r>
      <w:r w:rsidRPr="00E36010">
        <w:rPr>
          <w:rFonts w:eastAsia="Times New Roman" w:cstheme="minorHAnsi"/>
        </w:rPr>
        <w:t xml:space="preserve"> </w:t>
      </w:r>
      <w:r>
        <w:rPr>
          <w:rFonts w:eastAsia="Times New Roman" w:cstheme="minorHAnsi"/>
        </w:rPr>
        <w:t>than labial ICJs</w:t>
      </w:r>
      <w:r w:rsidRPr="00E36010">
        <w:rPr>
          <w:rFonts w:eastAsia="Times New Roman" w:cstheme="minorHAnsi"/>
        </w:rPr>
        <w:t xml:space="preserve"> </w:t>
      </w:r>
      <w:r>
        <w:rPr>
          <w:rFonts w:eastAsia="Times New Roman" w:cstheme="minorHAnsi"/>
        </w:rPr>
        <w:t>(mean=</w:t>
      </w:r>
      <w:r w:rsidRPr="00E36010">
        <w:rPr>
          <w:rFonts w:eastAsia="Times New Roman" w:cstheme="minorHAnsi"/>
        </w:rPr>
        <w:t>1.76cm)</w:t>
      </w:r>
      <w:r>
        <w:rPr>
          <w:rFonts w:eastAsia="Times New Roman" w:cstheme="minorHAnsi"/>
        </w:rPr>
        <w:t>, whereas labial ICJs</w:t>
      </w:r>
      <w:r w:rsidRPr="00E36010">
        <w:rPr>
          <w:rFonts w:eastAsia="Times New Roman" w:cstheme="minorHAnsi"/>
        </w:rPr>
        <w:t xml:space="preserve"> </w:t>
      </w:r>
      <w:r>
        <w:rPr>
          <w:rFonts w:eastAsia="Times New Roman" w:cstheme="minorHAnsi"/>
        </w:rPr>
        <w:t>were longer horizontally than papillary ICJs (p&lt;</w:t>
      </w:r>
      <w:r w:rsidRPr="00E36010">
        <w:rPr>
          <w:rFonts w:eastAsia="Times New Roman" w:cstheme="minorHAnsi"/>
        </w:rPr>
        <w:t xml:space="preserve">0.05). </w:t>
      </w:r>
      <w:r>
        <w:rPr>
          <w:rFonts w:eastAsia="Times New Roman" w:cstheme="minorHAnsi"/>
        </w:rPr>
        <w:t xml:space="preserve">In </w:t>
      </w:r>
      <w:r w:rsidRPr="00E36010">
        <w:rPr>
          <w:rFonts w:eastAsia="Times New Roman" w:cstheme="minorHAnsi"/>
        </w:rPr>
        <w:t>24 specimens</w:t>
      </w:r>
      <w:r>
        <w:rPr>
          <w:rFonts w:eastAsia="Times New Roman" w:cstheme="minorHAnsi"/>
        </w:rPr>
        <w:t>,</w:t>
      </w:r>
      <w:r w:rsidRPr="00E36010">
        <w:rPr>
          <w:rFonts w:eastAsia="Times New Roman" w:cstheme="minorHAnsi"/>
        </w:rPr>
        <w:t xml:space="preserve"> a transition zone</w:t>
      </w:r>
      <w:r>
        <w:rPr>
          <w:rFonts w:eastAsia="Times New Roman" w:cstheme="minorHAnsi"/>
        </w:rPr>
        <w:t xml:space="preserve">, the “vestibule”, was present between the </w:t>
      </w:r>
      <w:proofErr w:type="spellStart"/>
      <w:r>
        <w:rPr>
          <w:rFonts w:eastAsia="Times New Roman" w:cstheme="minorHAnsi"/>
        </w:rPr>
        <w:t>caecal</w:t>
      </w:r>
      <w:proofErr w:type="spellEnd"/>
      <w:r>
        <w:rPr>
          <w:rFonts w:eastAsia="Times New Roman" w:cstheme="minorHAnsi"/>
        </w:rPr>
        <w:t xml:space="preserve"> and </w:t>
      </w:r>
      <w:proofErr w:type="spellStart"/>
      <w:r>
        <w:rPr>
          <w:rFonts w:eastAsia="Times New Roman" w:cstheme="minorHAnsi"/>
        </w:rPr>
        <w:t>ileal</w:t>
      </w:r>
      <w:proofErr w:type="spellEnd"/>
      <w:r>
        <w:rPr>
          <w:rFonts w:eastAsia="Times New Roman" w:cstheme="minorHAnsi"/>
        </w:rPr>
        <w:t xml:space="preserve"> walls, and had a mean depth of 2.21cm</w:t>
      </w:r>
      <w:r w:rsidRPr="00E36010">
        <w:rPr>
          <w:rFonts w:eastAsia="Times New Roman" w:cstheme="minorHAnsi"/>
        </w:rPr>
        <w:t xml:space="preserve">. A </w:t>
      </w:r>
      <w:r>
        <w:rPr>
          <w:rFonts w:eastAsia="Times New Roman" w:cstheme="minorHAnsi"/>
        </w:rPr>
        <w:t>vestibule was present in a larger proportion</w:t>
      </w:r>
      <w:r w:rsidRPr="00E36010">
        <w:rPr>
          <w:rFonts w:eastAsia="Times New Roman" w:cstheme="minorHAnsi"/>
        </w:rPr>
        <w:t xml:space="preserve"> of labial</w:t>
      </w:r>
      <w:r>
        <w:rPr>
          <w:rFonts w:eastAsia="Times New Roman" w:cstheme="minorHAnsi"/>
        </w:rPr>
        <w:t xml:space="preserve"> ICJs (18/19)</w:t>
      </w:r>
      <w:r w:rsidRPr="00E36010">
        <w:rPr>
          <w:rFonts w:eastAsia="Times New Roman" w:cstheme="minorHAnsi"/>
        </w:rPr>
        <w:t xml:space="preserve"> compared to papillary</w:t>
      </w:r>
      <w:r>
        <w:rPr>
          <w:rFonts w:eastAsia="Times New Roman" w:cstheme="minorHAnsi"/>
        </w:rPr>
        <w:t xml:space="preserve"> ICJs</w:t>
      </w:r>
      <w:r w:rsidRPr="00E36010">
        <w:rPr>
          <w:rFonts w:eastAsia="Times New Roman" w:cstheme="minorHAnsi"/>
        </w:rPr>
        <w:t xml:space="preserve"> (4</w:t>
      </w:r>
      <w:r>
        <w:rPr>
          <w:rFonts w:eastAsia="Times New Roman" w:cstheme="minorHAnsi"/>
        </w:rPr>
        <w:t>/</w:t>
      </w:r>
      <w:r w:rsidRPr="00E36010">
        <w:rPr>
          <w:rFonts w:eastAsia="Times New Roman" w:cstheme="minorHAnsi"/>
        </w:rPr>
        <w:t>12</w:t>
      </w:r>
      <w:r>
        <w:rPr>
          <w:rFonts w:eastAsia="Times New Roman" w:cstheme="minorHAnsi"/>
        </w:rPr>
        <w:t>)</w:t>
      </w:r>
      <w:r w:rsidRPr="00E36010">
        <w:rPr>
          <w:rFonts w:eastAsia="Times New Roman" w:cstheme="minorHAnsi"/>
        </w:rPr>
        <w:t xml:space="preserve">. </w:t>
      </w:r>
      <w:proofErr w:type="spellStart"/>
      <w:r>
        <w:rPr>
          <w:rFonts w:eastAsia="Times New Roman" w:cstheme="minorHAnsi"/>
        </w:rPr>
        <w:t>Caecal</w:t>
      </w:r>
      <w:proofErr w:type="spellEnd"/>
      <w:r>
        <w:rPr>
          <w:rFonts w:eastAsia="Times New Roman" w:cstheme="minorHAnsi"/>
        </w:rPr>
        <w:t xml:space="preserve"> folds were noted on either side of the ICJ opening in 26 specimens, with only one or absent folds in the remaining </w:t>
      </w:r>
      <w:r>
        <w:rPr>
          <w:rFonts w:eastAsia="Times New Roman" w:cstheme="minorHAnsi"/>
        </w:rPr>
        <w:lastRenderedPageBreak/>
        <w:t>cases. When air was pumped</w:t>
      </w:r>
      <w:r w:rsidRPr="00E36010">
        <w:rPr>
          <w:rFonts w:eastAsia="Times New Roman" w:cstheme="minorHAnsi"/>
        </w:rPr>
        <w:t xml:space="preserve"> into the ascending colon w</w:t>
      </w:r>
      <w:r>
        <w:rPr>
          <w:rFonts w:eastAsia="Times New Roman" w:cstheme="minorHAnsi"/>
        </w:rPr>
        <w:t xml:space="preserve">ith the specimens submerged in water, the caecum perforated in 4 cases without the occurrence of </w:t>
      </w:r>
      <w:proofErr w:type="spellStart"/>
      <w:r>
        <w:rPr>
          <w:rFonts w:eastAsia="Times New Roman" w:cstheme="minorHAnsi"/>
        </w:rPr>
        <w:t>caeco-ileal</w:t>
      </w:r>
      <w:proofErr w:type="spellEnd"/>
      <w:r>
        <w:rPr>
          <w:rFonts w:eastAsia="Times New Roman" w:cstheme="minorHAnsi"/>
        </w:rPr>
        <w:t xml:space="preserve"> reflux. These ICJs were deemed to be competent, suggesting </w:t>
      </w:r>
      <w:r w:rsidRPr="00E36010">
        <w:rPr>
          <w:rFonts w:eastAsia="Times New Roman" w:cstheme="minorHAnsi"/>
        </w:rPr>
        <w:t>that mechanical factors</w:t>
      </w:r>
      <w:r>
        <w:rPr>
          <w:rFonts w:eastAsia="Times New Roman" w:cstheme="minorHAnsi"/>
        </w:rPr>
        <w:t xml:space="preserve"> may contribute significantly to </w:t>
      </w:r>
      <w:r w:rsidRPr="00E36010">
        <w:rPr>
          <w:rFonts w:eastAsia="Times New Roman" w:cstheme="minorHAnsi"/>
        </w:rPr>
        <w:t>ICJ function</w:t>
      </w:r>
      <w:r>
        <w:rPr>
          <w:rFonts w:eastAsia="Times New Roman" w:cstheme="minorHAnsi"/>
        </w:rPr>
        <w:t>.</w:t>
      </w:r>
      <w:r w:rsidRPr="00E36010">
        <w:rPr>
          <w:rFonts w:eastAsia="Times New Roman" w:cstheme="minorHAnsi"/>
        </w:rPr>
        <w:t xml:space="preserve"> </w:t>
      </w:r>
      <w:r>
        <w:rPr>
          <w:rFonts w:eastAsia="Times New Roman" w:cstheme="minorHAnsi"/>
        </w:rPr>
        <w:t xml:space="preserve">These findings provide additional quantitative and qualitative detail to existing descriptions of the ICJ, and indicate a degree of variation beyond current classifications. Demonstration of possible competence in cadaveric specimens without neuronal input also lends support to a </w:t>
      </w:r>
      <w:proofErr w:type="spellStart"/>
      <w:r>
        <w:rPr>
          <w:rFonts w:eastAsia="Times New Roman" w:cstheme="minorHAnsi"/>
        </w:rPr>
        <w:t>valvular</w:t>
      </w:r>
      <w:proofErr w:type="spellEnd"/>
      <w:r>
        <w:rPr>
          <w:rFonts w:eastAsia="Times New Roman" w:cstheme="minorHAnsi"/>
        </w:rPr>
        <w:t xml:space="preserve"> mechanism for the ICJ.</w:t>
      </w:r>
    </w:p>
    <w:p w:rsidR="00F82F2B" w:rsidRDefault="00F82F2B" w:rsidP="00981BDF">
      <w:pPr>
        <w:spacing w:after="0" w:line="240" w:lineRule="auto"/>
        <w:jc w:val="both"/>
        <w:rPr>
          <w:rFonts w:eastAsia="Times New Roman" w:cstheme="minorHAnsi"/>
        </w:rPr>
      </w:pPr>
    </w:p>
    <w:p w:rsidR="00F82F2B" w:rsidRDefault="00F82F2B" w:rsidP="00981BDF">
      <w:pPr>
        <w:spacing w:after="0" w:line="240" w:lineRule="auto"/>
        <w:jc w:val="both"/>
        <w:rPr>
          <w:rFonts w:eastAsia="Times New Roman" w:cstheme="minorHAnsi"/>
        </w:rPr>
      </w:pPr>
    </w:p>
    <w:p w:rsidR="00F82F2B" w:rsidRDefault="00F82F2B" w:rsidP="00981BDF">
      <w:pPr>
        <w:spacing w:after="0" w:line="240" w:lineRule="auto"/>
        <w:jc w:val="both"/>
        <w:rPr>
          <w:rFonts w:eastAsia="Times New Roman" w:cstheme="minorHAnsi"/>
          <w:b/>
        </w:rPr>
      </w:pPr>
      <w:r w:rsidRPr="00396977">
        <w:rPr>
          <w:rFonts w:eastAsia="Times New Roman" w:cstheme="minorHAnsi"/>
          <w:b/>
        </w:rPr>
        <w:t>Abstract 3 (Oral Presentation)</w:t>
      </w:r>
    </w:p>
    <w:p w:rsidR="00F82F2B" w:rsidRDefault="00F82F2B" w:rsidP="00981BDF">
      <w:pPr>
        <w:spacing w:after="0" w:line="240" w:lineRule="auto"/>
        <w:jc w:val="both"/>
        <w:rPr>
          <w:rFonts w:eastAsia="Times New Roman" w:cstheme="minorHAnsi"/>
          <w:b/>
        </w:rPr>
      </w:pPr>
      <w:r>
        <w:rPr>
          <w:rFonts w:eastAsia="Times New Roman" w:cstheme="minorHAnsi"/>
          <w:b/>
        </w:rPr>
        <w:t>Predicting optimal central venous catheter length from surface measurements in adult humans</w:t>
      </w:r>
    </w:p>
    <w:p w:rsidR="00F82F2B" w:rsidRDefault="00F82F2B" w:rsidP="00981BDF">
      <w:pPr>
        <w:spacing w:after="0" w:line="240" w:lineRule="auto"/>
        <w:jc w:val="both"/>
        <w:rPr>
          <w:rFonts w:eastAsia="Times New Roman" w:cstheme="minorHAnsi"/>
        </w:rPr>
      </w:pPr>
      <w:r>
        <w:rPr>
          <w:rFonts w:eastAsia="Times New Roman" w:cstheme="minorHAnsi"/>
        </w:rPr>
        <w:t xml:space="preserve">R Thompson, N </w:t>
      </w:r>
      <w:proofErr w:type="spellStart"/>
      <w:r>
        <w:rPr>
          <w:rFonts w:eastAsia="Times New Roman" w:cstheme="minorHAnsi"/>
        </w:rPr>
        <w:t>Chilvers</w:t>
      </w:r>
      <w:proofErr w:type="spellEnd"/>
      <w:r>
        <w:rPr>
          <w:rFonts w:eastAsia="Times New Roman" w:cstheme="minorHAnsi"/>
        </w:rPr>
        <w:t xml:space="preserve">, R </w:t>
      </w:r>
      <w:proofErr w:type="spellStart"/>
      <w:r>
        <w:rPr>
          <w:rFonts w:eastAsia="Times New Roman" w:cstheme="minorHAnsi"/>
        </w:rPr>
        <w:t>Townend</w:t>
      </w:r>
      <w:proofErr w:type="spellEnd"/>
      <w:r>
        <w:rPr>
          <w:rFonts w:eastAsia="Times New Roman" w:cstheme="minorHAnsi"/>
        </w:rPr>
        <w:t xml:space="preserve"> and C Brassett</w:t>
      </w:r>
    </w:p>
    <w:p w:rsidR="00F82F2B" w:rsidRPr="005E237A" w:rsidRDefault="00F82F2B" w:rsidP="00981BDF">
      <w:pPr>
        <w:spacing w:after="0" w:line="240" w:lineRule="auto"/>
        <w:jc w:val="both"/>
        <w:rPr>
          <w:rFonts w:eastAsia="Times New Roman" w:cstheme="minorHAnsi"/>
        </w:rPr>
      </w:pPr>
    </w:p>
    <w:p w:rsidR="00F82F2B" w:rsidRDefault="00F82F2B" w:rsidP="00981BDF">
      <w:pPr>
        <w:spacing w:after="0" w:line="240" w:lineRule="auto"/>
        <w:jc w:val="both"/>
        <w:rPr>
          <w:lang w:val="en-US"/>
        </w:rPr>
      </w:pPr>
      <w:r>
        <w:rPr>
          <w:lang w:val="en-US"/>
        </w:rPr>
        <w:t>The length required for optimal</w:t>
      </w:r>
      <w:r w:rsidRPr="00593A45">
        <w:rPr>
          <w:lang w:val="en-US"/>
        </w:rPr>
        <w:t xml:space="preserve"> positioning of a central venous catheter (CVC)</w:t>
      </w:r>
      <w:r>
        <w:rPr>
          <w:lang w:val="en-US"/>
        </w:rPr>
        <w:t xml:space="preserve"> within the distal superior vena cava (SVC</w:t>
      </w:r>
      <w:r w:rsidRPr="00593A45">
        <w:rPr>
          <w:lang w:val="en-US"/>
        </w:rPr>
        <w:t>)</w:t>
      </w:r>
      <w:r>
        <w:rPr>
          <w:lang w:val="en-US"/>
        </w:rPr>
        <w:t xml:space="preserve"> </w:t>
      </w:r>
      <w:r w:rsidRPr="00593A45">
        <w:rPr>
          <w:lang w:val="en-US"/>
        </w:rPr>
        <w:t>is variable</w:t>
      </w:r>
      <w:r>
        <w:rPr>
          <w:lang w:val="en-US"/>
        </w:rPr>
        <w:t xml:space="preserve"> between patients</w:t>
      </w:r>
      <w:r w:rsidRPr="00593A45">
        <w:rPr>
          <w:lang w:val="en-US"/>
        </w:rPr>
        <w:t xml:space="preserve">, </w:t>
      </w:r>
      <w:r>
        <w:rPr>
          <w:lang w:val="en-US"/>
        </w:rPr>
        <w:t>and</w:t>
      </w:r>
      <w:r w:rsidRPr="00593A45">
        <w:rPr>
          <w:lang w:val="en-US"/>
        </w:rPr>
        <w:t xml:space="preserve"> must be estimated </w:t>
      </w:r>
      <w:r>
        <w:rPr>
          <w:lang w:val="en-US"/>
        </w:rPr>
        <w:t xml:space="preserve">during insertion. However, this estimation is frequently incorrect, resulting in misplaced CVCs, </w:t>
      </w:r>
      <w:r w:rsidRPr="00593A45">
        <w:rPr>
          <w:lang w:val="en-US"/>
        </w:rPr>
        <w:t>poor catheter function, cardiac arrhythmia</w:t>
      </w:r>
      <w:r>
        <w:rPr>
          <w:lang w:val="en-US"/>
        </w:rPr>
        <w:t>s, or</w:t>
      </w:r>
      <w:r w:rsidRPr="00593A45">
        <w:rPr>
          <w:lang w:val="en-US"/>
        </w:rPr>
        <w:t xml:space="preserve"> even cardiac perforation</w:t>
      </w:r>
      <w:r>
        <w:rPr>
          <w:lang w:val="en-US"/>
        </w:rPr>
        <w:t xml:space="preserve">. This study aimed to determine which of several </w:t>
      </w:r>
      <w:proofErr w:type="gramStart"/>
      <w:r>
        <w:rPr>
          <w:lang w:val="en-US"/>
        </w:rPr>
        <w:t>surface  measurements</w:t>
      </w:r>
      <w:proofErr w:type="gramEnd"/>
      <w:r>
        <w:rPr>
          <w:lang w:val="en-US"/>
        </w:rPr>
        <w:t xml:space="preserve"> was most closely correlated with optimal CVC length.</w:t>
      </w:r>
    </w:p>
    <w:p w:rsidR="00F82F2B" w:rsidRDefault="00F82F2B" w:rsidP="00981BDF">
      <w:pPr>
        <w:spacing w:after="0" w:line="240" w:lineRule="auto"/>
        <w:jc w:val="both"/>
        <w:rPr>
          <w:lang w:val="en-US"/>
        </w:rPr>
      </w:pPr>
      <w:r>
        <w:rPr>
          <w:lang w:val="en-US"/>
        </w:rPr>
        <w:t xml:space="preserve">The distance between several anatomical landmarks was measured on forty embalmed cadavers.  Measurements included: height; suprasternal notch to </w:t>
      </w:r>
      <w:proofErr w:type="spellStart"/>
      <w:r>
        <w:rPr>
          <w:lang w:val="en-US"/>
        </w:rPr>
        <w:t>xiphisternum</w:t>
      </w:r>
      <w:proofErr w:type="spellEnd"/>
      <w:r>
        <w:rPr>
          <w:lang w:val="en-US"/>
        </w:rPr>
        <w:t xml:space="preserve">, umbilicus, and pubic symphysis; and right sternoclavicular joint (RSCJ) to ipsilateral costal cartilages (CCs). A thoracotomy was then performed, CVC guidewires were inserted via the right internal jugular </w:t>
      </w:r>
      <w:proofErr w:type="gramStart"/>
      <w:r>
        <w:rPr>
          <w:lang w:val="en-US"/>
        </w:rPr>
        <w:t>vein  2cm</w:t>
      </w:r>
      <w:proofErr w:type="gramEnd"/>
      <w:r>
        <w:rPr>
          <w:lang w:val="en-US"/>
        </w:rPr>
        <w:t xml:space="preserve"> above the RSCJ, and – confirming position by direct observation – a minimal and maximal length between which each tip lay within the SVC was recorded.</w:t>
      </w:r>
    </w:p>
    <w:p w:rsidR="00F82F2B" w:rsidRDefault="00F82F2B" w:rsidP="00981BDF">
      <w:pPr>
        <w:spacing w:after="0" w:line="240" w:lineRule="auto"/>
        <w:jc w:val="both"/>
        <w:rPr>
          <w:lang w:val="en-US"/>
        </w:rPr>
      </w:pPr>
      <w:r>
        <w:rPr>
          <w:lang w:val="en-US"/>
        </w:rPr>
        <w:t>The maximal length of each CVC in the SVC was significantly correlated with the distance between the RSCJ and the ipsilateral 4</w:t>
      </w:r>
      <w:r w:rsidRPr="002108C0">
        <w:rPr>
          <w:vertAlign w:val="superscript"/>
          <w:lang w:val="en-US"/>
        </w:rPr>
        <w:t>th</w:t>
      </w:r>
      <w:r>
        <w:rPr>
          <w:lang w:val="en-US"/>
        </w:rPr>
        <w:t xml:space="preserve"> and 5</w:t>
      </w:r>
      <w:r w:rsidRPr="002108C0">
        <w:rPr>
          <w:vertAlign w:val="superscript"/>
          <w:lang w:val="en-US"/>
        </w:rPr>
        <w:t>th</w:t>
      </w:r>
      <w:r>
        <w:rPr>
          <w:lang w:val="en-US"/>
        </w:rPr>
        <w:t xml:space="preserve"> </w:t>
      </w:r>
      <w:proofErr w:type="gramStart"/>
      <w:r>
        <w:rPr>
          <w:lang w:val="en-US"/>
        </w:rPr>
        <w:t>CCs  (</w:t>
      </w:r>
      <w:proofErr w:type="gramEnd"/>
      <w:r>
        <w:rPr>
          <w:lang w:val="en-US"/>
        </w:rPr>
        <w:t>p&lt;0.001, &lt;0.002). A CVC inserted a length equidistant to that from the RSCJ to the 4</w:t>
      </w:r>
      <w:r w:rsidRPr="002108C0">
        <w:rPr>
          <w:vertAlign w:val="superscript"/>
          <w:lang w:val="en-US"/>
        </w:rPr>
        <w:t>th</w:t>
      </w:r>
      <w:r>
        <w:rPr>
          <w:lang w:val="en-US"/>
        </w:rPr>
        <w:t>CC would lie in the SVC in 38/40 (95%), and the right atrium (RA) in 0/40, but the distal third of the SVC in only 2/40 (5%). A CVC inserted a length equidistant to that from the RSCJ to the 5</w:t>
      </w:r>
      <w:r w:rsidRPr="00F056C7">
        <w:rPr>
          <w:vertAlign w:val="superscript"/>
          <w:lang w:val="en-US"/>
        </w:rPr>
        <w:t>th</w:t>
      </w:r>
      <w:r>
        <w:rPr>
          <w:lang w:val="en-US"/>
        </w:rPr>
        <w:t xml:space="preserve">CC would lie in the SVC in 35/40 (87.5%), and the distal third of the SVC in 23/40 (57.5%), but the right atrium (RA) in 5/40 (12.5%). These findings provide a clinically relevant </w:t>
      </w:r>
      <w:proofErr w:type="spellStart"/>
      <w:proofErr w:type="gramStart"/>
      <w:r>
        <w:rPr>
          <w:lang w:val="en-US"/>
        </w:rPr>
        <w:t>gide</w:t>
      </w:r>
      <w:proofErr w:type="spellEnd"/>
      <w:proofErr w:type="gramEnd"/>
      <w:r>
        <w:rPr>
          <w:lang w:val="en-US"/>
        </w:rPr>
        <w:t xml:space="preserve"> for CVC length, depending on the perceived relative importance of placement within the distal SVC and/or avoiding placement within the RA.</w:t>
      </w:r>
    </w:p>
    <w:p w:rsidR="00F82F2B" w:rsidRDefault="00F82F2B" w:rsidP="00981BDF">
      <w:pPr>
        <w:spacing w:after="0" w:line="240" w:lineRule="auto"/>
        <w:jc w:val="both"/>
        <w:rPr>
          <w:lang w:val="en-US"/>
        </w:rPr>
      </w:pPr>
    </w:p>
    <w:p w:rsidR="00981BDF" w:rsidRDefault="00981BDF" w:rsidP="00981BDF">
      <w:pPr>
        <w:spacing w:after="0" w:line="240" w:lineRule="auto"/>
        <w:jc w:val="both"/>
        <w:rPr>
          <w:lang w:val="en-US"/>
        </w:rPr>
      </w:pPr>
    </w:p>
    <w:p w:rsidR="00F82F2B" w:rsidRDefault="00F82F2B" w:rsidP="00981BDF">
      <w:pPr>
        <w:spacing w:after="0" w:line="240" w:lineRule="auto"/>
        <w:jc w:val="both"/>
        <w:rPr>
          <w:rFonts w:eastAsia="Times New Roman" w:cstheme="minorHAnsi"/>
          <w:b/>
        </w:rPr>
      </w:pPr>
      <w:r w:rsidRPr="00396977">
        <w:rPr>
          <w:rFonts w:eastAsia="Times New Roman" w:cstheme="minorHAnsi"/>
          <w:b/>
        </w:rPr>
        <w:t xml:space="preserve">Abstract </w:t>
      </w:r>
      <w:r>
        <w:rPr>
          <w:rFonts w:eastAsia="Times New Roman" w:cstheme="minorHAnsi"/>
          <w:b/>
        </w:rPr>
        <w:t>4</w:t>
      </w:r>
      <w:r w:rsidRPr="00396977">
        <w:rPr>
          <w:rFonts w:eastAsia="Times New Roman" w:cstheme="minorHAnsi"/>
          <w:b/>
        </w:rPr>
        <w:t xml:space="preserve"> (Oral Presentation)</w:t>
      </w:r>
    </w:p>
    <w:p w:rsidR="00F82F2B" w:rsidRDefault="00F82F2B" w:rsidP="00981BDF">
      <w:pPr>
        <w:spacing w:after="0" w:line="240" w:lineRule="auto"/>
        <w:jc w:val="both"/>
        <w:rPr>
          <w:b/>
          <w:lang w:val="en-US"/>
        </w:rPr>
      </w:pPr>
      <w:r>
        <w:rPr>
          <w:b/>
          <w:lang w:val="en-US"/>
        </w:rPr>
        <w:t xml:space="preserve">Sexual dimorphism and ethnic variance: their impact on the reliability of the </w:t>
      </w:r>
      <w:proofErr w:type="spellStart"/>
      <w:r>
        <w:rPr>
          <w:b/>
          <w:lang w:val="en-US"/>
        </w:rPr>
        <w:t>antilingula</w:t>
      </w:r>
      <w:proofErr w:type="spellEnd"/>
      <w:r>
        <w:rPr>
          <w:b/>
          <w:lang w:val="en-US"/>
        </w:rPr>
        <w:t xml:space="preserve"> as a landmark in human mandibular surgery</w:t>
      </w:r>
    </w:p>
    <w:p w:rsidR="00F82F2B" w:rsidRDefault="00F82F2B" w:rsidP="00981BDF">
      <w:pPr>
        <w:spacing w:after="0" w:line="240" w:lineRule="auto"/>
        <w:jc w:val="both"/>
        <w:rPr>
          <w:lang w:val="en-US"/>
        </w:rPr>
      </w:pPr>
      <w:r>
        <w:rPr>
          <w:lang w:val="en-US"/>
        </w:rPr>
        <w:t xml:space="preserve">M </w:t>
      </w:r>
      <w:proofErr w:type="spellStart"/>
      <w:r>
        <w:rPr>
          <w:lang w:val="en-US"/>
        </w:rPr>
        <w:t>Kapur</w:t>
      </w:r>
      <w:proofErr w:type="spellEnd"/>
      <w:r>
        <w:rPr>
          <w:lang w:val="en-US"/>
        </w:rPr>
        <w:t xml:space="preserve">, R Shah, </w:t>
      </w:r>
      <w:proofErr w:type="gramStart"/>
      <w:r>
        <w:rPr>
          <w:lang w:val="en-US"/>
        </w:rPr>
        <w:t>A</w:t>
      </w:r>
      <w:proofErr w:type="gramEnd"/>
      <w:r>
        <w:rPr>
          <w:lang w:val="en-US"/>
        </w:rPr>
        <w:t xml:space="preserve"> Ferro, S </w:t>
      </w:r>
      <w:proofErr w:type="spellStart"/>
      <w:r>
        <w:rPr>
          <w:lang w:val="en-US"/>
        </w:rPr>
        <w:t>Basyuni</w:t>
      </w:r>
      <w:proofErr w:type="spellEnd"/>
      <w:r>
        <w:rPr>
          <w:lang w:val="en-US"/>
        </w:rPr>
        <w:t xml:space="preserve">, C Brassett and V </w:t>
      </w:r>
      <w:proofErr w:type="spellStart"/>
      <w:r>
        <w:rPr>
          <w:lang w:val="en-US"/>
        </w:rPr>
        <w:t>Santhanam</w:t>
      </w:r>
      <w:proofErr w:type="spellEnd"/>
    </w:p>
    <w:p w:rsidR="00F82F2B" w:rsidRDefault="00F82F2B" w:rsidP="00981BDF">
      <w:pPr>
        <w:spacing w:after="0" w:line="240" w:lineRule="auto"/>
        <w:jc w:val="both"/>
        <w:rPr>
          <w:lang w:val="en-US"/>
        </w:rPr>
      </w:pPr>
      <w:r>
        <w:rPr>
          <w:lang w:val="en-US"/>
        </w:rPr>
        <w:t xml:space="preserve">The </w:t>
      </w:r>
      <w:proofErr w:type="spellStart"/>
      <w:r>
        <w:rPr>
          <w:lang w:val="en-US"/>
        </w:rPr>
        <w:t>antilingula</w:t>
      </w:r>
      <w:proofErr w:type="spellEnd"/>
      <w:r>
        <w:rPr>
          <w:lang w:val="en-US"/>
        </w:rPr>
        <w:t xml:space="preserve"> is a prominence located on the lateral aspect of the mandibular ramus, arising as a consequence of the attachment of the masseter muscle. Its clinical </w:t>
      </w:r>
      <w:proofErr w:type="spellStart"/>
      <w:r>
        <w:rPr>
          <w:lang w:val="en-US"/>
        </w:rPr>
        <w:t>signficiance</w:t>
      </w:r>
      <w:proofErr w:type="spellEnd"/>
      <w:r>
        <w:rPr>
          <w:lang w:val="en-US"/>
        </w:rPr>
        <w:t xml:space="preserve"> relates to its potential use as a surgical landmark to prevent iatrogenic damage to the inferior alveolar nerve (IAN) during intra-oral vertical ramus osteotomy (IVRO). This osteotomy is performed from the lateral aspect of the mandibular ramus, which precludes direct </w:t>
      </w:r>
      <w:proofErr w:type="spellStart"/>
      <w:r>
        <w:rPr>
          <w:lang w:val="en-US"/>
        </w:rPr>
        <w:t>visualisation</w:t>
      </w:r>
      <w:proofErr w:type="spellEnd"/>
      <w:r>
        <w:rPr>
          <w:lang w:val="en-US"/>
        </w:rPr>
        <w:t xml:space="preserve"> of the nerve. Although variation in the incidence and location of the </w:t>
      </w:r>
      <w:proofErr w:type="spellStart"/>
      <w:r>
        <w:rPr>
          <w:lang w:val="en-US"/>
        </w:rPr>
        <w:t>antilingula</w:t>
      </w:r>
      <w:proofErr w:type="spellEnd"/>
      <w:r>
        <w:rPr>
          <w:lang w:val="en-US"/>
        </w:rPr>
        <w:t xml:space="preserve"> is </w:t>
      </w:r>
      <w:proofErr w:type="spellStart"/>
      <w:r>
        <w:rPr>
          <w:lang w:val="en-US"/>
        </w:rPr>
        <w:t>recognised</w:t>
      </w:r>
      <w:proofErr w:type="spellEnd"/>
      <w:r>
        <w:rPr>
          <w:lang w:val="en-US"/>
        </w:rPr>
        <w:t xml:space="preserve">, no comprehensive studies have previously been conducted with the aim of evaluating the relationship between the </w:t>
      </w:r>
      <w:proofErr w:type="spellStart"/>
      <w:r>
        <w:rPr>
          <w:lang w:val="en-US"/>
        </w:rPr>
        <w:t>antilingula</w:t>
      </w:r>
      <w:proofErr w:type="spellEnd"/>
      <w:r>
        <w:rPr>
          <w:lang w:val="en-US"/>
        </w:rPr>
        <w:t xml:space="preserve">, mandibular foramen and </w:t>
      </w:r>
      <w:proofErr w:type="spellStart"/>
      <w:r>
        <w:rPr>
          <w:lang w:val="en-US"/>
        </w:rPr>
        <w:t>lingula</w:t>
      </w:r>
      <w:proofErr w:type="spellEnd"/>
      <w:r>
        <w:rPr>
          <w:lang w:val="en-US"/>
        </w:rPr>
        <w:t xml:space="preserve"> in different populations and sexes. In this study, 478 dry </w:t>
      </w:r>
      <w:proofErr w:type="spellStart"/>
      <w:r>
        <w:rPr>
          <w:lang w:val="en-US"/>
        </w:rPr>
        <w:t>hemimandibles</w:t>
      </w:r>
      <w:proofErr w:type="spellEnd"/>
      <w:r>
        <w:rPr>
          <w:lang w:val="en-US"/>
        </w:rPr>
        <w:t xml:space="preserve"> from right different geographic populations were used to map the relationship between the </w:t>
      </w:r>
      <w:proofErr w:type="spellStart"/>
      <w:r>
        <w:rPr>
          <w:lang w:val="en-US"/>
        </w:rPr>
        <w:t>lingula</w:t>
      </w:r>
      <w:proofErr w:type="spellEnd"/>
      <w:r>
        <w:rPr>
          <w:lang w:val="en-US"/>
        </w:rPr>
        <w:t xml:space="preserve">, </w:t>
      </w:r>
      <w:proofErr w:type="spellStart"/>
      <w:r>
        <w:rPr>
          <w:lang w:val="en-US"/>
        </w:rPr>
        <w:t>antilingula</w:t>
      </w:r>
      <w:proofErr w:type="spellEnd"/>
      <w:r>
        <w:rPr>
          <w:lang w:val="en-US"/>
        </w:rPr>
        <w:t xml:space="preserve">, mandibular foramen and </w:t>
      </w:r>
      <w:proofErr w:type="spellStart"/>
      <w:r>
        <w:rPr>
          <w:lang w:val="en-US"/>
        </w:rPr>
        <w:t>midwaist</w:t>
      </w:r>
      <w:proofErr w:type="spellEnd"/>
      <w:r>
        <w:rPr>
          <w:lang w:val="en-US"/>
        </w:rPr>
        <w:t xml:space="preserve"> point of the ramus on each </w:t>
      </w:r>
      <w:proofErr w:type="spellStart"/>
      <w:r>
        <w:rPr>
          <w:lang w:val="en-US"/>
        </w:rPr>
        <w:t>hemimandible</w:t>
      </w:r>
      <w:proofErr w:type="spellEnd"/>
      <w:r>
        <w:rPr>
          <w:lang w:val="en-US"/>
        </w:rPr>
        <w:t xml:space="preserve">. Skulls were sexed by discriminant function analysis of visually assessed sexually dimorphic traits. Positional relationships were determined by digitizing nine anatomical landmarks per </w:t>
      </w:r>
      <w:proofErr w:type="spellStart"/>
      <w:r>
        <w:rPr>
          <w:lang w:val="en-US"/>
        </w:rPr>
        <w:t>hemimandible</w:t>
      </w:r>
      <w:proofErr w:type="spellEnd"/>
      <w:r>
        <w:rPr>
          <w:lang w:val="en-US"/>
        </w:rPr>
        <w:t>. Mean inter-</w:t>
      </w:r>
      <w:proofErr w:type="spellStart"/>
      <w:r>
        <w:rPr>
          <w:lang w:val="en-US"/>
        </w:rPr>
        <w:t>obserser</w:t>
      </w:r>
      <w:proofErr w:type="spellEnd"/>
      <w:r>
        <w:rPr>
          <w:lang w:val="en-US"/>
        </w:rPr>
        <w:t xml:space="preserve"> discrepancy in locating the </w:t>
      </w:r>
      <w:proofErr w:type="spellStart"/>
      <w:r>
        <w:rPr>
          <w:lang w:val="en-US"/>
        </w:rPr>
        <w:t>antilingula</w:t>
      </w:r>
      <w:proofErr w:type="spellEnd"/>
      <w:r>
        <w:rPr>
          <w:lang w:val="en-US"/>
        </w:rPr>
        <w:t xml:space="preserve"> was 0.59mm. No significant sex difference was identified in the spatial relationship between </w:t>
      </w:r>
      <w:proofErr w:type="spellStart"/>
      <w:r>
        <w:rPr>
          <w:lang w:val="en-US"/>
        </w:rPr>
        <w:t>lingula</w:t>
      </w:r>
      <w:proofErr w:type="spellEnd"/>
      <w:r>
        <w:rPr>
          <w:lang w:val="en-US"/>
        </w:rPr>
        <w:t xml:space="preserve"> and </w:t>
      </w:r>
      <w:proofErr w:type="spellStart"/>
      <w:r>
        <w:rPr>
          <w:lang w:val="en-US"/>
        </w:rPr>
        <w:t>antilingula</w:t>
      </w:r>
      <w:proofErr w:type="spellEnd"/>
      <w:r>
        <w:rPr>
          <w:lang w:val="en-US"/>
        </w:rPr>
        <w:t xml:space="preserve">. The relationship between the </w:t>
      </w:r>
      <w:proofErr w:type="spellStart"/>
      <w:r>
        <w:rPr>
          <w:lang w:val="en-US"/>
        </w:rPr>
        <w:t>lingula</w:t>
      </w:r>
      <w:proofErr w:type="spellEnd"/>
      <w:r>
        <w:rPr>
          <w:lang w:val="en-US"/>
        </w:rPr>
        <w:t xml:space="preserve"> and </w:t>
      </w:r>
      <w:proofErr w:type="spellStart"/>
      <w:r>
        <w:rPr>
          <w:lang w:val="en-US"/>
        </w:rPr>
        <w:lastRenderedPageBreak/>
        <w:t>antilingula</w:t>
      </w:r>
      <w:proofErr w:type="spellEnd"/>
      <w:r>
        <w:rPr>
          <w:lang w:val="en-US"/>
        </w:rPr>
        <w:t xml:space="preserve">, and the relationship between the </w:t>
      </w:r>
      <w:proofErr w:type="spellStart"/>
      <w:r>
        <w:rPr>
          <w:lang w:val="en-US"/>
        </w:rPr>
        <w:t>antilingula</w:t>
      </w:r>
      <w:proofErr w:type="spellEnd"/>
      <w:r>
        <w:rPr>
          <w:lang w:val="en-US"/>
        </w:rPr>
        <w:t xml:space="preserve"> and the mandibular foramen, showed multiple differences between geographic populations. Irrespective of geographic population or sex, the mandibular foramen was less than 5mm posterior to the </w:t>
      </w:r>
      <w:proofErr w:type="spellStart"/>
      <w:r>
        <w:rPr>
          <w:lang w:val="en-US"/>
        </w:rPr>
        <w:t>antilingula</w:t>
      </w:r>
      <w:proofErr w:type="spellEnd"/>
      <w:r>
        <w:rPr>
          <w:lang w:val="en-US"/>
        </w:rPr>
        <w:t xml:space="preserve"> in 90.4% of cases. This study </w:t>
      </w:r>
      <w:proofErr w:type="spellStart"/>
      <w:r>
        <w:rPr>
          <w:lang w:val="en-US"/>
        </w:rPr>
        <w:t>suggeststhat</w:t>
      </w:r>
      <w:proofErr w:type="spellEnd"/>
      <w:r>
        <w:rPr>
          <w:lang w:val="en-US"/>
        </w:rPr>
        <w:t xml:space="preserve"> the </w:t>
      </w:r>
      <w:proofErr w:type="spellStart"/>
      <w:r>
        <w:rPr>
          <w:lang w:val="en-US"/>
        </w:rPr>
        <w:t>antilingula</w:t>
      </w:r>
      <w:proofErr w:type="spellEnd"/>
      <w:r>
        <w:rPr>
          <w:lang w:val="en-US"/>
        </w:rPr>
        <w:t xml:space="preserve"> may be used as a reliable surgical landmark to predict the location of the IAN, and that osteotomy 8.6mm posterior to this point will avoid damage to the IAN in 98.8% of cases.</w:t>
      </w:r>
    </w:p>
    <w:p w:rsidR="00F82F2B" w:rsidRDefault="00F82F2B" w:rsidP="00981BDF">
      <w:pPr>
        <w:spacing w:after="0" w:line="240" w:lineRule="auto"/>
        <w:jc w:val="both"/>
        <w:rPr>
          <w:lang w:val="en-US"/>
        </w:rPr>
      </w:pPr>
    </w:p>
    <w:p w:rsidR="00981BDF" w:rsidRDefault="00981BDF" w:rsidP="00981BDF">
      <w:pPr>
        <w:spacing w:after="0" w:line="240" w:lineRule="auto"/>
        <w:jc w:val="both"/>
        <w:rPr>
          <w:lang w:val="en-US"/>
        </w:rPr>
      </w:pPr>
    </w:p>
    <w:p w:rsidR="00F82F2B" w:rsidRDefault="00F82F2B" w:rsidP="00981BDF">
      <w:pPr>
        <w:spacing w:after="0" w:line="240" w:lineRule="auto"/>
        <w:jc w:val="both"/>
        <w:rPr>
          <w:rFonts w:eastAsia="Times New Roman" w:cstheme="minorHAnsi"/>
          <w:b/>
        </w:rPr>
      </w:pPr>
      <w:r w:rsidRPr="00396977">
        <w:rPr>
          <w:rFonts w:eastAsia="Times New Roman" w:cstheme="minorHAnsi"/>
          <w:b/>
        </w:rPr>
        <w:t xml:space="preserve">Abstract </w:t>
      </w:r>
      <w:r>
        <w:rPr>
          <w:rFonts w:eastAsia="Times New Roman" w:cstheme="minorHAnsi"/>
          <w:b/>
        </w:rPr>
        <w:t>5</w:t>
      </w:r>
      <w:r w:rsidRPr="00396977">
        <w:rPr>
          <w:rFonts w:eastAsia="Times New Roman" w:cstheme="minorHAnsi"/>
          <w:b/>
        </w:rPr>
        <w:t xml:space="preserve"> (</w:t>
      </w:r>
      <w:r>
        <w:rPr>
          <w:rFonts w:eastAsia="Times New Roman" w:cstheme="minorHAnsi"/>
          <w:b/>
        </w:rPr>
        <w:t>Poster</w:t>
      </w:r>
      <w:r w:rsidRPr="00396977">
        <w:rPr>
          <w:rFonts w:eastAsia="Times New Roman" w:cstheme="minorHAnsi"/>
          <w:b/>
        </w:rPr>
        <w:t xml:space="preserve"> Presentation)</w:t>
      </w:r>
    </w:p>
    <w:p w:rsidR="00F82F2B" w:rsidRDefault="00F82F2B" w:rsidP="00981BDF">
      <w:pPr>
        <w:spacing w:after="0" w:line="240" w:lineRule="auto"/>
        <w:jc w:val="both"/>
        <w:rPr>
          <w:b/>
          <w:lang w:val="en-US"/>
        </w:rPr>
      </w:pPr>
      <w:r>
        <w:rPr>
          <w:b/>
          <w:lang w:val="en-US"/>
        </w:rPr>
        <w:t>Should anatomy demonstration be a compulsory component of core surgical training?</w:t>
      </w:r>
    </w:p>
    <w:p w:rsidR="00F82F2B" w:rsidRDefault="00F82F2B" w:rsidP="00981BDF">
      <w:pPr>
        <w:spacing w:after="0" w:line="240" w:lineRule="auto"/>
        <w:jc w:val="both"/>
        <w:rPr>
          <w:lang w:val="en-US"/>
        </w:rPr>
      </w:pPr>
      <w:r>
        <w:rPr>
          <w:lang w:val="en-US"/>
        </w:rPr>
        <w:t>T Hughes, W Moussa, C Brassett</w:t>
      </w:r>
    </w:p>
    <w:p w:rsidR="00F82F2B" w:rsidRDefault="00F82F2B" w:rsidP="00981BDF">
      <w:pPr>
        <w:spacing w:after="0" w:line="240" w:lineRule="auto"/>
        <w:jc w:val="both"/>
        <w:rPr>
          <w:lang w:val="en-US"/>
        </w:rPr>
      </w:pPr>
    </w:p>
    <w:p w:rsidR="00F82F2B" w:rsidRDefault="00F82F2B" w:rsidP="00981BDF">
      <w:pPr>
        <w:spacing w:after="0" w:line="240" w:lineRule="auto"/>
        <w:jc w:val="both"/>
        <w:rPr>
          <w:lang w:val="en-US"/>
        </w:rPr>
      </w:pPr>
      <w:r>
        <w:rPr>
          <w:lang w:val="en-US"/>
        </w:rPr>
        <w:t xml:space="preserve">Anatomy demonstration is currently a non-compulsory component of core surgical training (CST), with only a few deaneries including it as a mandatory requirement at the ‘Annual Review of Competence Progression’ for surgical trainees. However, a thorough knowledge of anatomy is not only important for success at postgraduate membership examinations but is also essential for a career in surgery. At the University of Cambridge, there are 12 anatomy demonstrator positions linked to surgical on-call commitments at </w:t>
      </w:r>
      <w:proofErr w:type="spellStart"/>
      <w:r>
        <w:rPr>
          <w:lang w:val="en-US"/>
        </w:rPr>
        <w:t>Addenbrooke’s</w:t>
      </w:r>
      <w:proofErr w:type="spellEnd"/>
      <w:r>
        <w:rPr>
          <w:lang w:val="en-US"/>
        </w:rPr>
        <w:t xml:space="preserve"> Hospital in 6 surgical specialties. This study aims to assess the opinions of a group of CST trainees regarding the value of anatomy demonstration within their training </w:t>
      </w:r>
      <w:proofErr w:type="spellStart"/>
      <w:r>
        <w:rPr>
          <w:lang w:val="en-US"/>
        </w:rPr>
        <w:t>programme</w:t>
      </w:r>
      <w:proofErr w:type="spellEnd"/>
      <w:r>
        <w:rPr>
          <w:lang w:val="en-US"/>
        </w:rPr>
        <w:t xml:space="preserve">. At a regional intensive MRCS anatomy revision course, 19 delegates were asked to attempt 20 pre and post-course multiple choice questions taken from past examination papers to aid standardization and to complete a post course questionnaire. The grouped average results showed an improvement of 12% in their anatomical knowledge. Analysis of the post-course questionnaire showed that the vast majority of delegates felt strongly that anatomy demonstration should be incorporated into the CST curriculum. The trainees were asked to rank between 1 (not incorporated) to 10 (incorporated), and the average score for the group was 8.8 (SD 2.3). Interestingly, when asked how frequently they felt demonstrating should take place, over half the group (68%) considered this should be at least </w:t>
      </w:r>
      <w:proofErr w:type="gramStart"/>
      <w:r>
        <w:rPr>
          <w:lang w:val="en-US"/>
        </w:rPr>
        <w:t>monthly.</w:t>
      </w:r>
      <w:proofErr w:type="gramEnd"/>
      <w:r>
        <w:rPr>
          <w:lang w:val="en-US"/>
        </w:rPr>
        <w:t xml:space="preserve"> While the numbers in this study are small, they represent trainees from a large deanery, and the results suggest that surgical trainees would embrace the inclusion of anatomy demonstration within their curriculum. Those who have chosen to take a year out of their training to do anatomy demonstration are able to improve their anatomical knowledge, develop teaching and research skills, and gain insight into what a surgical career involves from senior demonstrators on the teaching team.</w:t>
      </w:r>
    </w:p>
    <w:p w:rsidR="00F82F2B" w:rsidRDefault="00F82F2B" w:rsidP="00981BDF">
      <w:pPr>
        <w:spacing w:after="0" w:line="240" w:lineRule="auto"/>
        <w:jc w:val="both"/>
        <w:rPr>
          <w:lang w:val="en-US"/>
        </w:rPr>
      </w:pPr>
    </w:p>
    <w:p w:rsidR="00F82F2B" w:rsidRPr="00A90D2E" w:rsidRDefault="00F82F2B" w:rsidP="00981BDF">
      <w:pPr>
        <w:spacing w:after="0" w:line="240" w:lineRule="auto"/>
        <w:jc w:val="both"/>
        <w:rPr>
          <w:lang w:val="en-US"/>
        </w:rPr>
      </w:pPr>
    </w:p>
    <w:p w:rsidR="00F82F2B" w:rsidRDefault="00F82F2B" w:rsidP="00981BDF">
      <w:pPr>
        <w:spacing w:after="0" w:line="240" w:lineRule="auto"/>
        <w:rPr>
          <w:rFonts w:eastAsia="Times New Roman" w:cstheme="minorHAnsi"/>
          <w:b/>
        </w:rPr>
      </w:pPr>
      <w:r w:rsidRPr="00396977">
        <w:rPr>
          <w:rFonts w:eastAsia="Times New Roman" w:cstheme="minorHAnsi"/>
          <w:b/>
        </w:rPr>
        <w:t xml:space="preserve">Abstract </w:t>
      </w:r>
      <w:r>
        <w:rPr>
          <w:rFonts w:eastAsia="Times New Roman" w:cstheme="minorHAnsi"/>
          <w:b/>
        </w:rPr>
        <w:t>6</w:t>
      </w:r>
      <w:r w:rsidRPr="00396977">
        <w:rPr>
          <w:rFonts w:eastAsia="Times New Roman" w:cstheme="minorHAnsi"/>
          <w:b/>
        </w:rPr>
        <w:t xml:space="preserve"> (</w:t>
      </w:r>
      <w:r>
        <w:rPr>
          <w:rFonts w:eastAsia="Times New Roman" w:cstheme="minorHAnsi"/>
          <w:b/>
        </w:rPr>
        <w:t>Poster</w:t>
      </w:r>
      <w:r w:rsidRPr="00396977">
        <w:rPr>
          <w:rFonts w:eastAsia="Times New Roman" w:cstheme="minorHAnsi"/>
          <w:b/>
        </w:rPr>
        <w:t xml:space="preserve"> Presentation)</w:t>
      </w:r>
    </w:p>
    <w:p w:rsidR="00F82F2B" w:rsidRDefault="00F82F2B" w:rsidP="00981BDF">
      <w:pPr>
        <w:spacing w:after="0" w:line="240" w:lineRule="auto"/>
        <w:rPr>
          <w:b/>
        </w:rPr>
      </w:pPr>
      <w:r>
        <w:rPr>
          <w:b/>
        </w:rPr>
        <w:t>Anatomical variations of sternocleidomastoid and their relationship to internal jugular venous cannulation</w:t>
      </w:r>
    </w:p>
    <w:p w:rsidR="00F82F2B" w:rsidRPr="00250B70" w:rsidRDefault="00F82F2B" w:rsidP="00981BDF">
      <w:pPr>
        <w:spacing w:after="0" w:line="240" w:lineRule="auto"/>
      </w:pPr>
      <w:r>
        <w:t>ML Robinson, O Kenyon and C Brassett</w:t>
      </w:r>
    </w:p>
    <w:p w:rsidR="00F82F2B" w:rsidRDefault="00F82F2B" w:rsidP="00981BDF">
      <w:pPr>
        <w:spacing w:after="0" w:line="240" w:lineRule="auto"/>
      </w:pPr>
    </w:p>
    <w:p w:rsidR="00F82F2B" w:rsidRDefault="00F82F2B" w:rsidP="00981BDF">
      <w:pPr>
        <w:spacing w:after="0" w:line="240" w:lineRule="auto"/>
        <w:jc w:val="both"/>
      </w:pPr>
      <w:r>
        <w:t xml:space="preserve">The apex of the triangle formed by the clavicular and sternal heads of the sternocleidomastoid (SCM) muscle, </w:t>
      </w:r>
      <w:proofErr w:type="spellStart"/>
      <w:r>
        <w:t>Sedillot’s</w:t>
      </w:r>
      <w:proofErr w:type="spellEnd"/>
      <w:r>
        <w:t xml:space="preserve"> triangle, is recognised as a landmark for internal jugular vein (IJV) cannulation. However, anecdotal evidence suggests that significant variation exists in the height and width of the triangle and its relation to the IJV. Previous research demonstrated reduced likelihood of successful cannulation on the left relative to the right.</w:t>
      </w:r>
    </w:p>
    <w:p w:rsidR="00F82F2B" w:rsidRDefault="00F82F2B" w:rsidP="00981BDF">
      <w:pPr>
        <w:spacing w:after="0" w:line="240" w:lineRule="auto"/>
        <w:jc w:val="both"/>
      </w:pPr>
      <w:r>
        <w:t xml:space="preserve">This study aims to describe anatomical variation in the heads of SCM and the relationship of </w:t>
      </w:r>
      <w:proofErr w:type="spellStart"/>
      <w:r>
        <w:t>Sedillot’s</w:t>
      </w:r>
      <w:proofErr w:type="spellEnd"/>
      <w:r>
        <w:t xml:space="preserve"> triangle to IJV cannulation.</w:t>
      </w:r>
    </w:p>
    <w:p w:rsidR="00F82F2B" w:rsidRDefault="00F82F2B" w:rsidP="00981BDF">
      <w:pPr>
        <w:spacing w:after="0" w:line="240" w:lineRule="auto"/>
        <w:jc w:val="both"/>
      </w:pPr>
      <w:r>
        <w:t xml:space="preserve">The SCM was dissected in 41 cadavers in the Dissection Room at Cambridge University. Digital calliper measurements were made. A marking pin was inserted perpendicularly at the apex of </w:t>
      </w:r>
      <w:proofErr w:type="spellStart"/>
      <w:r w:rsidRPr="00266922">
        <w:t>Sedillot’s</w:t>
      </w:r>
      <w:proofErr w:type="spellEnd"/>
      <w:r w:rsidRPr="00266922">
        <w:t xml:space="preserve"> triangle</w:t>
      </w:r>
      <w:r>
        <w:t xml:space="preserve"> to simulate IJV cannulation. The muscles were subsequently reflected to identify the position of the pin relative to the IJV.</w:t>
      </w:r>
    </w:p>
    <w:p w:rsidR="00F82F2B" w:rsidRDefault="00F82F2B" w:rsidP="00981BDF">
      <w:pPr>
        <w:spacing w:after="0" w:line="240" w:lineRule="auto"/>
        <w:jc w:val="both"/>
        <w:rPr>
          <w:rFonts w:ascii="Calibri" w:eastAsia="Times New Roman" w:hAnsi="Calibri" w:cs="Times New Roman"/>
          <w:color w:val="000000"/>
        </w:rPr>
      </w:pPr>
      <w:r>
        <w:lastRenderedPageBreak/>
        <w:t xml:space="preserve">Results showed considerable variation in the clavicular distance between the heads, ranging from 0-67.6mm, with mean=12.6mm (SD=12.2mm) and a mean triangle height of 35.2mm (SD=14.7mm). There was no significant difference in laterality. </w:t>
      </w:r>
      <w:r>
        <w:rPr>
          <w:rFonts w:ascii="Calibri" w:eastAsia="Times New Roman" w:hAnsi="Calibri" w:cs="Times New Roman"/>
          <w:color w:val="000000"/>
        </w:rPr>
        <w:t>A pin inserted</w:t>
      </w:r>
      <w:r w:rsidRPr="00EF72F5">
        <w:rPr>
          <w:rFonts w:ascii="Calibri" w:eastAsia="Times New Roman" w:hAnsi="Calibri" w:cs="Times New Roman"/>
          <w:color w:val="000000"/>
        </w:rPr>
        <w:t xml:space="preserve"> at the apex</w:t>
      </w:r>
      <w:r>
        <w:rPr>
          <w:rFonts w:ascii="Calibri" w:eastAsia="Times New Roman" w:hAnsi="Calibri" w:cs="Times New Roman"/>
          <w:color w:val="000000"/>
        </w:rPr>
        <w:t xml:space="preserve"> punctured </w:t>
      </w:r>
      <w:r w:rsidRPr="00EF72F5">
        <w:rPr>
          <w:rFonts w:ascii="Calibri" w:eastAsia="Times New Roman" w:hAnsi="Calibri" w:cs="Times New Roman"/>
          <w:color w:val="000000"/>
        </w:rPr>
        <w:t>the IJV</w:t>
      </w:r>
      <w:r>
        <w:rPr>
          <w:rFonts w:ascii="Calibri" w:eastAsia="Times New Roman" w:hAnsi="Calibri" w:cs="Times New Roman"/>
          <w:color w:val="000000"/>
        </w:rPr>
        <w:t xml:space="preserve"> successfully</w:t>
      </w:r>
      <w:r w:rsidRPr="00EF72F5">
        <w:rPr>
          <w:rFonts w:ascii="Calibri" w:eastAsia="Times New Roman" w:hAnsi="Calibri" w:cs="Times New Roman"/>
          <w:color w:val="000000"/>
        </w:rPr>
        <w:t xml:space="preserve"> in</w:t>
      </w:r>
      <w:r>
        <w:rPr>
          <w:rFonts w:ascii="Calibri" w:eastAsia="Times New Roman" w:hAnsi="Calibri" w:cs="Times New Roman"/>
          <w:color w:val="000000"/>
        </w:rPr>
        <w:t xml:space="preserve"> most cases (left, </w:t>
      </w:r>
      <w:r w:rsidRPr="00EF72F5">
        <w:rPr>
          <w:rFonts w:ascii="Calibri" w:eastAsia="Times New Roman" w:hAnsi="Calibri" w:cs="Times New Roman"/>
          <w:color w:val="000000"/>
        </w:rPr>
        <w:t>23/40</w:t>
      </w:r>
      <w:r>
        <w:rPr>
          <w:rFonts w:ascii="Calibri" w:eastAsia="Times New Roman" w:hAnsi="Calibri" w:cs="Times New Roman"/>
          <w:color w:val="000000"/>
        </w:rPr>
        <w:t xml:space="preserve">; right 33/40). </w:t>
      </w:r>
      <w:r w:rsidRPr="00EF72F5">
        <w:rPr>
          <w:rFonts w:ascii="Calibri" w:eastAsia="Times New Roman" w:hAnsi="Calibri" w:cs="Times New Roman"/>
          <w:color w:val="000000"/>
        </w:rPr>
        <w:t xml:space="preserve">Of the </w:t>
      </w:r>
      <w:r>
        <w:rPr>
          <w:rFonts w:ascii="Calibri" w:eastAsia="Times New Roman" w:hAnsi="Calibri" w:cs="Times New Roman"/>
          <w:color w:val="000000"/>
        </w:rPr>
        <w:t xml:space="preserve">unsuccessful </w:t>
      </w:r>
      <w:r w:rsidRPr="00EF72F5">
        <w:rPr>
          <w:rFonts w:ascii="Calibri" w:eastAsia="Times New Roman" w:hAnsi="Calibri" w:cs="Times New Roman"/>
          <w:color w:val="000000"/>
        </w:rPr>
        <w:t>punctures</w:t>
      </w:r>
      <w:r>
        <w:rPr>
          <w:rFonts w:ascii="Calibri" w:eastAsia="Times New Roman" w:hAnsi="Calibri" w:cs="Times New Roman"/>
          <w:color w:val="000000"/>
        </w:rPr>
        <w:t>, the IJV on both sides lay either lateral or medial to the apex. On the left, the mean distance from apex to</w:t>
      </w:r>
      <w:r w:rsidRPr="00EF72F5">
        <w:rPr>
          <w:rFonts w:ascii="Calibri" w:eastAsia="Times New Roman" w:hAnsi="Calibri" w:cs="Times New Roman"/>
          <w:color w:val="000000"/>
        </w:rPr>
        <w:t xml:space="preserve"> IJV </w:t>
      </w:r>
      <w:r>
        <w:rPr>
          <w:rFonts w:ascii="Calibri" w:eastAsia="Times New Roman" w:hAnsi="Calibri" w:cs="Times New Roman"/>
          <w:color w:val="000000"/>
        </w:rPr>
        <w:t>was 0.2mm (</w:t>
      </w:r>
      <w:r w:rsidRPr="00EF72F5">
        <w:rPr>
          <w:rFonts w:ascii="Calibri" w:eastAsia="Times New Roman" w:hAnsi="Calibri" w:cs="Times New Roman"/>
          <w:color w:val="000000"/>
        </w:rPr>
        <w:t>SD 7.6</w:t>
      </w:r>
      <w:r>
        <w:rPr>
          <w:rFonts w:ascii="Calibri" w:eastAsia="Times New Roman" w:hAnsi="Calibri" w:cs="Times New Roman"/>
          <w:color w:val="000000"/>
        </w:rPr>
        <w:t>mm), with a range of 17.4mm (lateral) and -14.8mm (medial); whereas on the right, the</w:t>
      </w:r>
      <w:r w:rsidRPr="00EF72F5">
        <w:rPr>
          <w:rFonts w:ascii="Calibri" w:eastAsia="Times New Roman" w:hAnsi="Calibri" w:cs="Times New Roman"/>
          <w:color w:val="000000"/>
        </w:rPr>
        <w:t xml:space="preserve"> IJV </w:t>
      </w:r>
      <w:r>
        <w:rPr>
          <w:rFonts w:ascii="Calibri" w:eastAsia="Times New Roman" w:hAnsi="Calibri" w:cs="Times New Roman"/>
          <w:color w:val="000000"/>
        </w:rPr>
        <w:t>was lateral in most cases (</w:t>
      </w:r>
      <w:r w:rsidRPr="00EF72F5">
        <w:rPr>
          <w:rFonts w:ascii="Calibri" w:eastAsia="Times New Roman" w:hAnsi="Calibri" w:cs="Times New Roman"/>
          <w:color w:val="000000"/>
        </w:rPr>
        <w:t>mean 5.7mm</w:t>
      </w:r>
      <w:r>
        <w:rPr>
          <w:rFonts w:ascii="Calibri" w:eastAsia="Times New Roman" w:hAnsi="Calibri" w:cs="Times New Roman"/>
          <w:color w:val="000000"/>
        </w:rPr>
        <w:t xml:space="preserve">, </w:t>
      </w:r>
      <w:r w:rsidRPr="00EF72F5">
        <w:rPr>
          <w:rFonts w:ascii="Calibri" w:eastAsia="Times New Roman" w:hAnsi="Calibri" w:cs="Times New Roman"/>
          <w:color w:val="000000"/>
        </w:rPr>
        <w:t>SD 6.0</w:t>
      </w:r>
      <w:r>
        <w:rPr>
          <w:rFonts w:ascii="Calibri" w:eastAsia="Times New Roman" w:hAnsi="Calibri" w:cs="Times New Roman"/>
          <w:color w:val="000000"/>
        </w:rPr>
        <w:t>mm, range 13.9mm and -2.3mm).</w:t>
      </w:r>
    </w:p>
    <w:p w:rsidR="00F82F2B" w:rsidRDefault="00F82F2B" w:rsidP="00981BDF">
      <w:pPr>
        <w:spacing w:after="0" w:line="240" w:lineRule="auto"/>
        <w:jc w:val="both"/>
      </w:pPr>
      <w:r>
        <w:t xml:space="preserve">In conclusion, while this study confirms the efficacy of the apex of </w:t>
      </w:r>
      <w:proofErr w:type="spellStart"/>
      <w:r>
        <w:t>Sedillot’s</w:t>
      </w:r>
      <w:proofErr w:type="spellEnd"/>
      <w:r>
        <w:t xml:space="preserve"> triangle for IJV cannulation where bedside ultrasound imaging is unavailable, it also highlights the risks of this procedure in view of the variability of the relationship of the SCM heads to the location of the IJV on both sides.</w:t>
      </w:r>
    </w:p>
    <w:p w:rsidR="00F82F2B" w:rsidRDefault="00F82F2B" w:rsidP="00981BDF">
      <w:pPr>
        <w:spacing w:after="0" w:line="240" w:lineRule="auto"/>
        <w:jc w:val="both"/>
      </w:pPr>
    </w:p>
    <w:p w:rsidR="00981BDF" w:rsidRDefault="00981BDF" w:rsidP="00981BDF">
      <w:pPr>
        <w:spacing w:after="0" w:line="240" w:lineRule="auto"/>
        <w:jc w:val="both"/>
      </w:pPr>
    </w:p>
    <w:p w:rsidR="00F82F2B" w:rsidRDefault="00F82F2B" w:rsidP="00981BDF">
      <w:pPr>
        <w:spacing w:after="0" w:line="240" w:lineRule="auto"/>
        <w:jc w:val="both"/>
        <w:rPr>
          <w:b/>
        </w:rPr>
      </w:pPr>
      <w:r>
        <w:rPr>
          <w:b/>
        </w:rPr>
        <w:t>Abstract 7 (Poster Presentation)</w:t>
      </w:r>
    </w:p>
    <w:p w:rsidR="00F82F2B" w:rsidRDefault="00F82F2B" w:rsidP="00981BDF">
      <w:pPr>
        <w:spacing w:after="0" w:line="240" w:lineRule="auto"/>
        <w:jc w:val="both"/>
        <w:rPr>
          <w:b/>
        </w:rPr>
      </w:pPr>
      <w:r>
        <w:rPr>
          <w:b/>
        </w:rPr>
        <w:t xml:space="preserve">The ‘textbook aorta’: a </w:t>
      </w:r>
      <w:proofErr w:type="spellStart"/>
      <w:r>
        <w:rPr>
          <w:b/>
          <w:i/>
        </w:rPr>
        <w:t>rara</w:t>
      </w:r>
      <w:proofErr w:type="spellEnd"/>
      <w:r>
        <w:rPr>
          <w:b/>
          <w:i/>
        </w:rPr>
        <w:t xml:space="preserve"> </w:t>
      </w:r>
      <w:proofErr w:type="spellStart"/>
      <w:r>
        <w:rPr>
          <w:b/>
          <w:i/>
        </w:rPr>
        <w:t>avis</w:t>
      </w:r>
      <w:proofErr w:type="spellEnd"/>
      <w:r>
        <w:rPr>
          <w:b/>
        </w:rPr>
        <w:t>?</w:t>
      </w:r>
    </w:p>
    <w:p w:rsidR="00F82F2B" w:rsidRDefault="00F82F2B" w:rsidP="00981BDF">
      <w:pPr>
        <w:spacing w:after="0" w:line="240" w:lineRule="auto"/>
        <w:jc w:val="both"/>
      </w:pPr>
      <w:r>
        <w:t xml:space="preserve">W Moussa, R Thompson, J Goode, I Fay, C Brassett, </w:t>
      </w:r>
      <w:proofErr w:type="gramStart"/>
      <w:r>
        <w:t>A</w:t>
      </w:r>
      <w:proofErr w:type="gramEnd"/>
      <w:r>
        <w:t xml:space="preserve"> May &amp; A Howard</w:t>
      </w:r>
    </w:p>
    <w:p w:rsidR="00F82F2B" w:rsidRDefault="00F82F2B" w:rsidP="00981BDF">
      <w:pPr>
        <w:spacing w:after="0" w:line="240" w:lineRule="auto"/>
        <w:jc w:val="both"/>
      </w:pPr>
    </w:p>
    <w:p w:rsidR="00F82F2B" w:rsidRDefault="00F82F2B" w:rsidP="00981BDF">
      <w:pPr>
        <w:spacing w:after="0" w:line="240" w:lineRule="auto"/>
        <w:jc w:val="both"/>
        <w:rPr>
          <w:rFonts w:cs="Times New Roman"/>
        </w:rPr>
      </w:pPr>
      <w:r w:rsidRPr="006E01AA">
        <w:rPr>
          <w:rFonts w:eastAsia="Times New Roman" w:cs="Times New Roman"/>
          <w:color w:val="000000"/>
          <w:lang w:eastAsia="en-GB"/>
        </w:rPr>
        <w:t xml:space="preserve">The widespread adoption of endovascular aortic aneurysm repair in recent years has necessitated an accurate understanding of the </w:t>
      </w:r>
      <w:proofErr w:type="spellStart"/>
      <w:r>
        <w:rPr>
          <w:rFonts w:eastAsia="Times New Roman" w:cs="Times New Roman"/>
          <w:color w:val="000000"/>
          <w:lang w:eastAsia="en-GB"/>
        </w:rPr>
        <w:t>infra</w:t>
      </w:r>
      <w:r w:rsidRPr="006E01AA">
        <w:rPr>
          <w:rFonts w:eastAsia="Times New Roman" w:cs="Times New Roman"/>
          <w:color w:val="000000"/>
          <w:lang w:eastAsia="en-GB"/>
        </w:rPr>
        <w:t>coeliac</w:t>
      </w:r>
      <w:proofErr w:type="spellEnd"/>
      <w:r w:rsidRPr="006E01AA">
        <w:rPr>
          <w:rFonts w:eastAsia="Times New Roman" w:cs="Times New Roman"/>
          <w:color w:val="000000"/>
          <w:lang w:eastAsia="en-GB"/>
        </w:rPr>
        <w:t xml:space="preserve"> aortic anatomy. Anatomical textbooks typically depict a straight abdominal aorta with the right and left renal arteries (RRA + LRA) arising symmetrically at a </w:t>
      </w:r>
      <w:r w:rsidRPr="006E01AA">
        <w:rPr>
          <w:rFonts w:cs="Times New Roman"/>
        </w:rPr>
        <w:t xml:space="preserve">90° angle, gonadal arteries arising immediately below the renal arteries, and the aorta bifurcating into the common iliac arteries at a 60-90° angle. This study aimed to describe the </w:t>
      </w:r>
      <w:proofErr w:type="spellStart"/>
      <w:r>
        <w:rPr>
          <w:rFonts w:cs="Times New Roman"/>
        </w:rPr>
        <w:t>infra</w:t>
      </w:r>
      <w:r w:rsidRPr="006E01AA">
        <w:rPr>
          <w:rFonts w:cs="Times New Roman"/>
        </w:rPr>
        <w:t>coeliac</w:t>
      </w:r>
      <w:proofErr w:type="spellEnd"/>
      <w:r w:rsidRPr="006E01AA">
        <w:rPr>
          <w:rFonts w:cs="Times New Roman"/>
        </w:rPr>
        <w:t xml:space="preserve"> abdominal aorta and to determine the accuracy of this representation.</w:t>
      </w:r>
      <w:r>
        <w:rPr>
          <w:rFonts w:cs="Times New Roman"/>
        </w:rPr>
        <w:t xml:space="preserve"> </w:t>
      </w:r>
      <w:r w:rsidRPr="006E01AA">
        <w:rPr>
          <w:rFonts w:eastAsia="Times New Roman" w:cs="Times New Roman"/>
          <w:color w:val="000000"/>
          <w:lang w:eastAsia="en-GB"/>
        </w:rPr>
        <w:t xml:space="preserve">The </w:t>
      </w:r>
      <w:proofErr w:type="spellStart"/>
      <w:r w:rsidRPr="006E01AA">
        <w:rPr>
          <w:rFonts w:eastAsia="Times New Roman" w:cs="Times New Roman"/>
          <w:color w:val="000000"/>
          <w:lang w:eastAsia="en-GB"/>
        </w:rPr>
        <w:t>retroperitoneum</w:t>
      </w:r>
      <w:proofErr w:type="spellEnd"/>
      <w:r w:rsidRPr="006E01AA">
        <w:rPr>
          <w:rFonts w:eastAsia="Times New Roman" w:cs="Times New Roman"/>
          <w:color w:val="000000"/>
          <w:lang w:eastAsia="en-GB"/>
        </w:rPr>
        <w:t xml:space="preserve"> was dissected and the branches of the abdominal aorta were identified in 35 embalmed adult cadavers in the Human Dissection Room at the University of Cambridge. The location, angle, and length of each branch were measured, with the mean of three measurements being used in data analysis.</w:t>
      </w:r>
      <w:r>
        <w:rPr>
          <w:rFonts w:eastAsia="Times New Roman" w:cs="Times New Roman"/>
          <w:color w:val="000000"/>
          <w:lang w:eastAsia="en-GB"/>
        </w:rPr>
        <w:t xml:space="preserve"> </w:t>
      </w:r>
      <w:r w:rsidRPr="006E01AA">
        <w:rPr>
          <w:rFonts w:eastAsia="Times New Roman" w:cs="Times New Roman"/>
          <w:color w:val="000000"/>
          <w:lang w:eastAsia="en-GB"/>
        </w:rPr>
        <w:t xml:space="preserve">Results differed from the typically depicted aorta in a number of areas. The left renal artery generally arose more inferiorly than the right as measured from the origin of the superior mesenteric artery (SMA to RRA 0.9±0.7cm, SMA to LRA 1.3±0.7cm). Both renal arteries were typically angled caudally (RRA 74±17°, LRA 72±17°), with marked angulation </w:t>
      </w:r>
      <w:r w:rsidRPr="006E01AA">
        <w:t>(</w:t>
      </w:r>
      <w:r w:rsidRPr="006E01AA">
        <w:sym w:font="Symbol" w:char="F0A3"/>
      </w:r>
      <w:r w:rsidRPr="006E01AA">
        <w:t xml:space="preserve"> 40°) </w:t>
      </w:r>
      <w:r w:rsidRPr="006E01AA">
        <w:rPr>
          <w:rFonts w:eastAsia="Times New Roman" w:cs="Times New Roman"/>
          <w:color w:val="000000"/>
          <w:lang w:eastAsia="en-GB"/>
        </w:rPr>
        <w:t>i</w:t>
      </w:r>
      <w:r w:rsidRPr="006E01AA">
        <w:t xml:space="preserve">n 3 and cephalad angulation in 2 cases. </w:t>
      </w:r>
      <w:r w:rsidRPr="006E01AA">
        <w:rPr>
          <w:rFonts w:eastAsia="Times New Roman" w:cs="Times New Roman"/>
          <w:color w:val="000000"/>
          <w:lang w:eastAsia="en-GB"/>
        </w:rPr>
        <w:t xml:space="preserve">Accessory renal arteries, considered uncommon, were nonetheless found in over 30% (11/35) and bilaterally in 3 subjects. Interestingly, the gonadal arteries did not arise from the abdominal aorta in 28/35 cases (80%). </w:t>
      </w:r>
      <w:r w:rsidRPr="006E01AA">
        <w:t>The angle between the common iliac arteries was most variable, with an average angle of 42</w:t>
      </w:r>
      <w:r w:rsidRPr="006E01AA">
        <w:rPr>
          <w:rFonts w:cs="Times New Roman"/>
        </w:rPr>
        <w:sym w:font="Symbol" w:char="F0B1"/>
      </w:r>
      <w:r w:rsidRPr="006E01AA">
        <w:rPr>
          <w:rFonts w:cs="Times New Roman"/>
        </w:rPr>
        <w:t xml:space="preserve"> 20°.</w:t>
      </w:r>
      <w:r>
        <w:rPr>
          <w:rFonts w:cs="Times New Roman"/>
        </w:rPr>
        <w:t xml:space="preserve"> </w:t>
      </w:r>
      <w:r w:rsidRPr="006E01AA">
        <w:rPr>
          <w:rFonts w:cs="Times New Roman"/>
        </w:rPr>
        <w:t xml:space="preserve">This study demonstrates that the </w:t>
      </w:r>
      <w:proofErr w:type="spellStart"/>
      <w:r>
        <w:rPr>
          <w:rFonts w:cs="Times New Roman"/>
        </w:rPr>
        <w:t>infra</w:t>
      </w:r>
      <w:r w:rsidRPr="006E01AA">
        <w:rPr>
          <w:rFonts w:cs="Times New Roman"/>
        </w:rPr>
        <w:t>coeliac</w:t>
      </w:r>
      <w:proofErr w:type="spellEnd"/>
      <w:r w:rsidRPr="006E01AA">
        <w:rPr>
          <w:rFonts w:cs="Times New Roman"/>
        </w:rPr>
        <w:t xml:space="preserve"> abdominal aorta differs from its ‘textbook’ description in several features: the location and angle of the renal arteries; the prevalence of accessory renal and gonadal arteries; and the angle of the aortic bifurcation. This considerable variation must be taken into account in preoperative planning of endovascular aneurysm repair.</w:t>
      </w:r>
    </w:p>
    <w:p w:rsidR="00F82F2B" w:rsidRDefault="00F82F2B" w:rsidP="00981BDF">
      <w:pPr>
        <w:spacing w:after="0" w:line="240" w:lineRule="auto"/>
        <w:jc w:val="both"/>
        <w:rPr>
          <w:rFonts w:cs="Times New Roman"/>
        </w:rPr>
      </w:pPr>
    </w:p>
    <w:p w:rsidR="00981BDF" w:rsidRDefault="00981BDF" w:rsidP="00981BDF">
      <w:pPr>
        <w:spacing w:after="0" w:line="240" w:lineRule="auto"/>
        <w:jc w:val="both"/>
        <w:rPr>
          <w:rFonts w:cs="Times New Roman"/>
        </w:rPr>
      </w:pPr>
      <w:bookmarkStart w:id="0" w:name="_GoBack"/>
      <w:bookmarkEnd w:id="0"/>
    </w:p>
    <w:p w:rsidR="00F82F2B" w:rsidRDefault="00F82F2B" w:rsidP="00981BDF">
      <w:pPr>
        <w:spacing w:after="0" w:line="240" w:lineRule="auto"/>
        <w:jc w:val="both"/>
        <w:rPr>
          <w:b/>
        </w:rPr>
      </w:pPr>
      <w:r>
        <w:rPr>
          <w:b/>
        </w:rPr>
        <w:t>Abstract 8 (Poster Presentation)</w:t>
      </w:r>
    </w:p>
    <w:p w:rsidR="00F82F2B" w:rsidRDefault="00F82F2B" w:rsidP="00981BDF">
      <w:pPr>
        <w:spacing w:after="0" w:line="240" w:lineRule="auto"/>
        <w:rPr>
          <w:b/>
        </w:rPr>
      </w:pPr>
      <w:r w:rsidRPr="00C00057">
        <w:rPr>
          <w:b/>
        </w:rPr>
        <w:t xml:space="preserve">Mapping the lateral cutaneous nerve of the forearm and </w:t>
      </w:r>
      <w:r>
        <w:rPr>
          <w:b/>
        </w:rPr>
        <w:t xml:space="preserve">its relation to the </w:t>
      </w:r>
      <w:r w:rsidRPr="00C00057">
        <w:rPr>
          <w:b/>
        </w:rPr>
        <w:t>superficial radial nerve in human cadavers</w:t>
      </w:r>
    </w:p>
    <w:p w:rsidR="00F82F2B" w:rsidRDefault="00F82F2B" w:rsidP="00981BDF">
      <w:pPr>
        <w:spacing w:after="0" w:line="240" w:lineRule="auto"/>
      </w:pPr>
      <w:r>
        <w:t xml:space="preserve">R Hasan, T Hughes, M Wright, C Brassett, L Van </w:t>
      </w:r>
      <w:proofErr w:type="spellStart"/>
      <w:r>
        <w:t>Rensburg</w:t>
      </w:r>
      <w:proofErr w:type="spellEnd"/>
    </w:p>
    <w:p w:rsidR="00F82F2B" w:rsidRDefault="00F82F2B" w:rsidP="00981BDF">
      <w:pPr>
        <w:spacing w:after="0" w:line="240" w:lineRule="auto"/>
      </w:pPr>
    </w:p>
    <w:p w:rsidR="00F82F2B" w:rsidRDefault="00F82F2B" w:rsidP="00981BDF">
      <w:pPr>
        <w:spacing w:after="0" w:line="240" w:lineRule="auto"/>
        <w:jc w:val="both"/>
      </w:pPr>
      <w:r>
        <w:t xml:space="preserve">The lateral cutaneous nerve of the forearm (LCNF) is typically described as mediating sensory innervation from both dorsal and palmar surfaces of the radial forearm proximal to the wrist. However, anecdotal evidence suggests it may also mediate sensation </w:t>
      </w:r>
      <w:proofErr w:type="spellStart"/>
      <w:r>
        <w:t>frm</w:t>
      </w:r>
      <w:proofErr w:type="spellEnd"/>
      <w:r>
        <w:t xml:space="preserve"> the skin of the anatomical snuffbox and first dorsal web space, classically attributed to the superficial radial nerve (SRN). This study aims to map the course of the LCNF, the site where it pierces deep fascia, and its relation to the SRN in the distal forearm and dorsum of the hand. Superficial dissection of 25 cadaveric forearms was performed with 2.5x magnification loupes, with careful mapping of both LCNF and SRN as far as the MCP joints. Our results showed that the LCNF emerged at a distance of 7.14cm (SD=2.36cm) from the </w:t>
      </w:r>
      <w:r>
        <w:lastRenderedPageBreak/>
        <w:t>lateral epicondyle, with up to 5 dorsal branches, although the majority (17/25, 68%) gave only one. It was observed that 7/25 (28%) did give branches to the skin over the anatomical snuffbox and 5/25 (20%) to the first dorsal web space. In addition, 6/25 (24%) showed a connection between the two nerves, at an average distance of 22.37cm (SD=2.38cm) from the lateral epicondyle. These data highlight the variation that exists in the branching pattern of the LCNF and its relationship with the SRN, as well as confirming that branches of the LCNF may supply areas previously only ascribed to the SRN. Surgeons operating in the cubital fossa should be aware of this possibility, as injury to the LCNF may lead to sensory loss in the hand. More importantly with regard to clinical diagnosis, these findings also bring into question the belief that the anatomical snuffbox and first dorsal web space are autonomous zones for testing the integrity of the radial nerve.</w:t>
      </w:r>
    </w:p>
    <w:p w:rsidR="00F82F2B" w:rsidRDefault="00F82F2B" w:rsidP="00981BDF">
      <w:pPr>
        <w:spacing w:after="0" w:line="240" w:lineRule="auto"/>
        <w:jc w:val="both"/>
      </w:pPr>
    </w:p>
    <w:p w:rsidR="00F82F2B" w:rsidRDefault="00F82F2B" w:rsidP="00981BDF">
      <w:pPr>
        <w:spacing w:after="0" w:line="240" w:lineRule="auto"/>
        <w:jc w:val="both"/>
      </w:pPr>
    </w:p>
    <w:p w:rsidR="00F82F2B" w:rsidRPr="00C00057" w:rsidRDefault="00F82F2B" w:rsidP="00981BDF">
      <w:pPr>
        <w:spacing w:after="0" w:line="240" w:lineRule="auto"/>
        <w:jc w:val="both"/>
      </w:pPr>
    </w:p>
    <w:p w:rsidR="00E25F9A" w:rsidRDefault="00E25F9A" w:rsidP="00981BDF">
      <w:pPr>
        <w:spacing w:after="0" w:line="240" w:lineRule="auto"/>
      </w:pPr>
    </w:p>
    <w:sectPr w:rsidR="00E25F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F2B"/>
    <w:rsid w:val="00411F17"/>
    <w:rsid w:val="00981BDF"/>
    <w:rsid w:val="00E25F9A"/>
    <w:rsid w:val="00F82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7382"/>
  <w15:chartTrackingRefBased/>
  <w15:docId w15:val="{B0337B65-128D-402A-B02F-21639338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F2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2514</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H. Fay</dc:creator>
  <cp:keywords/>
  <dc:description/>
  <cp:lastModifiedBy>Isla H. Fay</cp:lastModifiedBy>
  <cp:revision>3</cp:revision>
  <dcterms:created xsi:type="dcterms:W3CDTF">2018-05-16T09:45:00Z</dcterms:created>
  <dcterms:modified xsi:type="dcterms:W3CDTF">2018-05-16T09:58:00Z</dcterms:modified>
</cp:coreProperties>
</file>