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AE" w:rsidRDefault="00FA4FAE" w:rsidP="00FA4FAE">
      <w:pPr>
        <w:spacing w:after="0" w:line="240" w:lineRule="auto"/>
        <w:rPr>
          <w:b/>
        </w:rPr>
      </w:pPr>
      <w:r>
        <w:rPr>
          <w:b/>
        </w:rPr>
        <w:t>BACA</w:t>
      </w:r>
      <w:r w:rsidR="00E56D36">
        <w:rPr>
          <w:b/>
        </w:rPr>
        <w:t>,</w:t>
      </w:r>
      <w:r>
        <w:rPr>
          <w:b/>
        </w:rPr>
        <w:t xml:space="preserve"> </w:t>
      </w:r>
      <w:r>
        <w:rPr>
          <w:b/>
        </w:rPr>
        <w:t>Summer Meeting</w:t>
      </w:r>
      <w:r w:rsidR="00E56D36">
        <w:rPr>
          <w:b/>
        </w:rPr>
        <w:t>,</w:t>
      </w:r>
      <w:r>
        <w:rPr>
          <w:b/>
        </w:rPr>
        <w:t xml:space="preserve"> </w:t>
      </w:r>
      <w:r>
        <w:rPr>
          <w:b/>
        </w:rPr>
        <w:t>University of Warwick</w:t>
      </w:r>
      <w:r w:rsidR="00E56D36">
        <w:rPr>
          <w:b/>
        </w:rPr>
        <w:t>,</w:t>
      </w:r>
      <w:bookmarkStart w:id="0" w:name="_GoBack"/>
      <w:bookmarkEnd w:id="0"/>
      <w:r>
        <w:rPr>
          <w:b/>
        </w:rPr>
        <w:t xml:space="preserve"> July 2017</w:t>
      </w:r>
    </w:p>
    <w:p w:rsidR="00FA4FAE" w:rsidRDefault="00FA4FAE" w:rsidP="00FA4FAE">
      <w:pPr>
        <w:spacing w:after="0" w:line="240" w:lineRule="auto"/>
        <w:rPr>
          <w:b/>
        </w:rPr>
      </w:pPr>
    </w:p>
    <w:p w:rsidR="00FA4FAE" w:rsidRDefault="00FA4FAE" w:rsidP="00FA4FAE">
      <w:pPr>
        <w:spacing w:after="0" w:line="240" w:lineRule="auto"/>
        <w:rPr>
          <w:b/>
        </w:rPr>
      </w:pPr>
      <w:r>
        <w:rPr>
          <w:b/>
        </w:rPr>
        <w:t>Human Anatomy Teaching Group, Department Physiology, Development and Neuroscience, University of Cambridge</w:t>
      </w:r>
    </w:p>
    <w:p w:rsidR="00FA4FAE" w:rsidRDefault="00FA4FAE" w:rsidP="00FA4FAE">
      <w:pPr>
        <w:spacing w:after="0" w:line="240" w:lineRule="auto"/>
        <w:rPr>
          <w:b/>
        </w:rPr>
      </w:pPr>
    </w:p>
    <w:p w:rsidR="00FA4FAE" w:rsidRDefault="00FA4FAE" w:rsidP="00FA4FAE">
      <w:pPr>
        <w:spacing w:after="0" w:line="240" w:lineRule="auto"/>
        <w:rPr>
          <w:b/>
        </w:rPr>
      </w:pPr>
    </w:p>
    <w:p w:rsidR="00FA4FAE" w:rsidRDefault="00FA4FAE" w:rsidP="00FA4FAE">
      <w:pPr>
        <w:spacing w:after="0" w:line="240" w:lineRule="auto"/>
        <w:rPr>
          <w:b/>
        </w:rPr>
      </w:pPr>
      <w:r>
        <w:rPr>
          <w:b/>
        </w:rPr>
        <w:t>Abstract (Poster Presentation)</w:t>
      </w:r>
    </w:p>
    <w:p w:rsidR="00FA4FAE" w:rsidRPr="00E00C88" w:rsidRDefault="00FA4FAE" w:rsidP="00FA4FAE">
      <w:pPr>
        <w:spacing w:after="0" w:line="240" w:lineRule="auto"/>
        <w:rPr>
          <w:rFonts w:cs="Times New Roman"/>
          <w:b/>
          <w:bCs/>
        </w:rPr>
      </w:pPr>
      <w:r w:rsidRPr="00E00C88">
        <w:rPr>
          <w:rFonts w:cs="Times New Roman"/>
          <w:b/>
          <w:bCs/>
        </w:rPr>
        <w:t xml:space="preserve">The Role of Pre- and Post-session testing in </w:t>
      </w:r>
      <w:r>
        <w:rPr>
          <w:rFonts w:cs="Times New Roman"/>
          <w:b/>
          <w:bCs/>
        </w:rPr>
        <w:t>a Dissection-based Anatomy Course</w:t>
      </w:r>
    </w:p>
    <w:p w:rsidR="00FA4FAE" w:rsidRPr="00E00C88" w:rsidRDefault="00FA4FAE" w:rsidP="00FA4FAE">
      <w:pPr>
        <w:spacing w:after="0" w:line="240" w:lineRule="auto"/>
        <w:rPr>
          <w:rFonts w:cs="Times New Roman"/>
          <w:i/>
          <w:iCs/>
        </w:rPr>
      </w:pPr>
      <w:r w:rsidRPr="00E00C88">
        <w:rPr>
          <w:rFonts w:cs="Times New Roman"/>
          <w:i/>
          <w:iCs/>
        </w:rPr>
        <w:t xml:space="preserve">Slim N, </w:t>
      </w:r>
      <w:proofErr w:type="spellStart"/>
      <w:r w:rsidRPr="00E00C88">
        <w:rPr>
          <w:rFonts w:cs="Times New Roman"/>
          <w:i/>
          <w:iCs/>
        </w:rPr>
        <w:t>Nagrath</w:t>
      </w:r>
      <w:proofErr w:type="spellEnd"/>
      <w:r w:rsidRPr="00E00C88">
        <w:rPr>
          <w:rFonts w:cs="Times New Roman"/>
          <w:i/>
          <w:iCs/>
        </w:rPr>
        <w:t xml:space="preserve"> N, Yong W, </w:t>
      </w:r>
      <w:proofErr w:type="spellStart"/>
      <w:r w:rsidRPr="00E00C88">
        <w:rPr>
          <w:rFonts w:cs="Times New Roman"/>
          <w:i/>
          <w:iCs/>
        </w:rPr>
        <w:t>Pilarski</w:t>
      </w:r>
      <w:proofErr w:type="spellEnd"/>
      <w:r w:rsidRPr="00E00C88">
        <w:rPr>
          <w:rFonts w:cs="Times New Roman"/>
          <w:i/>
          <w:iCs/>
        </w:rPr>
        <w:t xml:space="preserve"> A, Brassett C.</w:t>
      </w:r>
    </w:p>
    <w:p w:rsidR="00FA4FAE" w:rsidRPr="00E00C88" w:rsidRDefault="00FA4FAE" w:rsidP="00FA4FAE">
      <w:pPr>
        <w:spacing w:line="240" w:lineRule="auto"/>
        <w:rPr>
          <w:rFonts w:cs="Times New Roman"/>
          <w:i/>
          <w:iCs/>
          <w:sz w:val="21"/>
          <w:szCs w:val="21"/>
        </w:rPr>
      </w:pPr>
      <w:r w:rsidRPr="00E00C88">
        <w:rPr>
          <w:rFonts w:cs="Times New Roman"/>
          <w:i/>
          <w:iCs/>
          <w:sz w:val="21"/>
          <w:szCs w:val="21"/>
        </w:rPr>
        <w:t>Department of Physiology, Development &amp; Neuroscience, University of Cambridge, Downing St, Cambridge CB2 3DY</w:t>
      </w:r>
    </w:p>
    <w:p w:rsidR="00FA4FAE" w:rsidRDefault="00FA4FAE" w:rsidP="00FA4FAE">
      <w:pPr>
        <w:spacing w:line="240" w:lineRule="auto"/>
        <w:jc w:val="both"/>
        <w:rPr>
          <w:rFonts w:cs="Times New Roman"/>
        </w:rPr>
      </w:pPr>
      <w:r w:rsidRPr="0079145C">
        <w:rPr>
          <w:rFonts w:cs="Times New Roman"/>
          <w:i/>
          <w:iCs/>
        </w:rPr>
        <w:t>Aims:</w:t>
      </w:r>
      <w:r>
        <w:rPr>
          <w:rFonts w:cs="Times New Roman"/>
        </w:rPr>
        <w:t xml:space="preserve"> Pre-testing in medical education has long been thought to be useful but its role in anatomical education remains unclear. We sought to evaluate the effectiveness of pre- and post-testing as a method of maximising engagement during dissection, to focus on acquisition of key concepts and to encourage self-directed learning. </w:t>
      </w:r>
    </w:p>
    <w:p w:rsidR="00FA4FAE" w:rsidRDefault="00FA4FAE" w:rsidP="00FA4FAE">
      <w:pPr>
        <w:spacing w:line="240" w:lineRule="auto"/>
        <w:jc w:val="both"/>
        <w:rPr>
          <w:rFonts w:cs="Times New Roman"/>
        </w:rPr>
      </w:pPr>
      <w:r w:rsidRPr="0079145C">
        <w:rPr>
          <w:rFonts w:cs="Times New Roman"/>
          <w:i/>
          <w:iCs/>
        </w:rPr>
        <w:t xml:space="preserve">Methods: </w:t>
      </w:r>
      <w:r w:rsidRPr="00E00C88">
        <w:rPr>
          <w:rFonts w:cs="Times New Roman"/>
        </w:rPr>
        <w:t xml:space="preserve">286 </w:t>
      </w:r>
      <w:r>
        <w:rPr>
          <w:rFonts w:cs="Times New Roman"/>
        </w:rPr>
        <w:t>first year medical students</w:t>
      </w:r>
      <w:r w:rsidRPr="00E00C88">
        <w:rPr>
          <w:rFonts w:cs="Times New Roman"/>
        </w:rPr>
        <w:t xml:space="preserve"> </w:t>
      </w:r>
      <w:r>
        <w:rPr>
          <w:rFonts w:cs="Times New Roman"/>
        </w:rPr>
        <w:t>completed</w:t>
      </w:r>
      <w:r w:rsidRPr="00E00C88">
        <w:rPr>
          <w:rFonts w:cs="Times New Roman"/>
        </w:rPr>
        <w:t xml:space="preserve"> an online</w:t>
      </w:r>
      <w:r>
        <w:rPr>
          <w:rFonts w:cs="Times New Roman"/>
        </w:rPr>
        <w:t xml:space="preserve"> multiple-choice</w:t>
      </w:r>
      <w:r w:rsidRPr="00E00C88">
        <w:rPr>
          <w:rFonts w:cs="Times New Roman"/>
        </w:rPr>
        <w:t xml:space="preserve"> quiz pertaining to the material they were to study in their session</w:t>
      </w:r>
      <w:r>
        <w:rPr>
          <w:rFonts w:cs="Times New Roman"/>
        </w:rPr>
        <w:t xml:space="preserve">, before and after each dissection session, </w:t>
      </w:r>
      <w:r w:rsidRPr="00E00C88">
        <w:rPr>
          <w:rFonts w:cs="Times New Roman"/>
        </w:rPr>
        <w:t xml:space="preserve">with the answers revealed at the end of the </w:t>
      </w:r>
      <w:r>
        <w:rPr>
          <w:rFonts w:cs="Times New Roman"/>
        </w:rPr>
        <w:t xml:space="preserve">post-session </w:t>
      </w:r>
      <w:r w:rsidRPr="00E00C88">
        <w:rPr>
          <w:rFonts w:cs="Times New Roman"/>
        </w:rPr>
        <w:t xml:space="preserve">quiz. Paired </w:t>
      </w:r>
      <w:r w:rsidRPr="00E00C88">
        <w:rPr>
          <w:rFonts w:cs="Times New Roman"/>
          <w:i/>
          <w:iCs/>
        </w:rPr>
        <w:t>t</w:t>
      </w:r>
      <w:r w:rsidRPr="00E00C88">
        <w:rPr>
          <w:rFonts w:cs="Times New Roman"/>
        </w:rPr>
        <w:t xml:space="preserve">-testing was used to compare </w:t>
      </w:r>
      <w:r>
        <w:rPr>
          <w:rFonts w:cs="Times New Roman"/>
        </w:rPr>
        <w:t>scores</w:t>
      </w:r>
      <w:r w:rsidRPr="00E00C88">
        <w:rPr>
          <w:rFonts w:cs="Times New Roman"/>
        </w:rPr>
        <w:t xml:space="preserve">. </w:t>
      </w:r>
      <w:r>
        <w:rPr>
          <w:rFonts w:cs="Times New Roman"/>
        </w:rPr>
        <w:t>Feedback</w:t>
      </w:r>
      <w:r w:rsidRPr="00E00C88">
        <w:rPr>
          <w:rFonts w:cs="Times New Roman"/>
        </w:rPr>
        <w:t xml:space="preserve"> was sought from the cohort regarding the effectiveness of the quizzes. </w:t>
      </w:r>
    </w:p>
    <w:p w:rsidR="00FA4FAE" w:rsidRDefault="00FA4FAE" w:rsidP="00FA4FAE">
      <w:pPr>
        <w:spacing w:line="240" w:lineRule="auto"/>
        <w:jc w:val="both"/>
        <w:rPr>
          <w:rFonts w:cs="Times New Roman"/>
        </w:rPr>
      </w:pPr>
      <w:r>
        <w:rPr>
          <w:rFonts w:cs="Times New Roman"/>
          <w:i/>
          <w:iCs/>
        </w:rPr>
        <w:t>Results:</w:t>
      </w:r>
      <w:r>
        <w:rPr>
          <w:rFonts w:cs="Times New Roman"/>
        </w:rPr>
        <w:t xml:space="preserve"> There was a significant (</w:t>
      </w:r>
      <w:r w:rsidRPr="00EA41CE">
        <w:rPr>
          <w:rFonts w:cs="Times New Roman"/>
          <w:i/>
          <w:iCs/>
        </w:rPr>
        <w:t>p</w:t>
      </w:r>
      <w:r>
        <w:rPr>
          <w:rFonts w:cs="Times New Roman"/>
        </w:rPr>
        <w:t xml:space="preserve"> &lt; 0.05) </w:t>
      </w:r>
      <w:r w:rsidRPr="00EA41CE">
        <w:rPr>
          <w:rFonts w:cs="Times New Roman"/>
        </w:rPr>
        <w:t>increase</w:t>
      </w:r>
      <w:r>
        <w:rPr>
          <w:rFonts w:cs="Times New Roman"/>
        </w:rPr>
        <w:t xml:space="preserve"> in individual scores across the curriculum, except for the abdomen, pelvis, gluteal region and joints of the lower limb. Pre-testing helped students focus on key concepts required for each session (77.7%, n=115). Post-session quizzes were useful for learning (74.11%, n=83) and revision (79.1%, n=117).</w:t>
      </w:r>
    </w:p>
    <w:p w:rsidR="00FA4FAE" w:rsidRPr="006E01AA" w:rsidRDefault="00FA4FAE" w:rsidP="00FA4FAE">
      <w:pPr>
        <w:spacing w:line="240" w:lineRule="auto"/>
        <w:jc w:val="both"/>
      </w:pPr>
      <w:r w:rsidRPr="0079145C">
        <w:rPr>
          <w:rFonts w:cs="Times New Roman"/>
          <w:i/>
          <w:iCs/>
        </w:rPr>
        <w:t>Discussion:</w:t>
      </w:r>
      <w:r>
        <w:rPr>
          <w:rFonts w:cs="Times New Roman"/>
        </w:rPr>
        <w:t xml:space="preserve"> Pre- and post-testing was well received and enabled us to gauge the effectiveness of dissection sessions. Further studies are required to evaluate whether pre-session testing can increase attainment of anatomical knowledge during dissection and in the longer term.</w:t>
      </w:r>
    </w:p>
    <w:p w:rsidR="00E25F9A" w:rsidRDefault="00E25F9A"/>
    <w:sectPr w:rsidR="00E25F9A" w:rsidSect="00DD0AB7">
      <w:foot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7270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0B70" w:rsidRPr="005D7FD0" w:rsidRDefault="00E56D36">
        <w:pPr>
          <w:pStyle w:val="Footer"/>
          <w:jc w:val="center"/>
          <w:rPr>
            <w:sz w:val="18"/>
            <w:szCs w:val="18"/>
          </w:rPr>
        </w:pPr>
        <w:r w:rsidRPr="005D7FD0">
          <w:rPr>
            <w:sz w:val="18"/>
            <w:szCs w:val="18"/>
          </w:rPr>
          <w:fldChar w:fldCharType="begin"/>
        </w:r>
        <w:r w:rsidRPr="005D7FD0">
          <w:rPr>
            <w:sz w:val="18"/>
            <w:szCs w:val="18"/>
          </w:rPr>
          <w:instrText xml:space="preserve"> PAGE   \* MERGEFORMAT </w:instrText>
        </w:r>
        <w:r w:rsidRPr="005D7FD0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5D7FD0">
          <w:rPr>
            <w:sz w:val="18"/>
            <w:szCs w:val="18"/>
          </w:rPr>
          <w:fldChar w:fldCharType="end"/>
        </w:r>
      </w:p>
    </w:sdtContent>
  </w:sdt>
  <w:p w:rsidR="00250B70" w:rsidRDefault="00E56D3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AE"/>
    <w:rsid w:val="00E25F9A"/>
    <w:rsid w:val="00E56D36"/>
    <w:rsid w:val="00FA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7093"/>
  <w15:chartTrackingRefBased/>
  <w15:docId w15:val="{49EBC714-CA01-4B2D-9B3C-80A7713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FA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A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 H. Fay</dc:creator>
  <cp:keywords/>
  <dc:description/>
  <cp:lastModifiedBy>Isla H. Fay</cp:lastModifiedBy>
  <cp:revision>2</cp:revision>
  <dcterms:created xsi:type="dcterms:W3CDTF">2018-05-16T10:06:00Z</dcterms:created>
  <dcterms:modified xsi:type="dcterms:W3CDTF">2018-05-16T10:07:00Z</dcterms:modified>
</cp:coreProperties>
</file>